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eastAsia" w:ascii="方正小标宋简体" w:eastAsia="方正小标宋简体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sz w:val="44"/>
          <w:szCs w:val="44"/>
          <w:highlight w:val="none"/>
        </w:rPr>
        <w:t>关于《遂昌县财政</w:t>
      </w:r>
      <w:r>
        <w:rPr>
          <w:rFonts w:hint="eastAsia" w:ascii="方正小标宋简体" w:eastAsia="方正小标宋简体"/>
          <w:sz w:val="44"/>
          <w:szCs w:val="44"/>
          <w:highlight w:val="none"/>
          <w:lang w:eastAsia="zh-CN"/>
        </w:rPr>
        <w:t>涉农资金</w:t>
      </w:r>
      <w:r>
        <w:rPr>
          <w:rFonts w:hint="eastAsia" w:ascii="方正小标宋简体" w:eastAsia="方正小标宋简体"/>
          <w:sz w:val="44"/>
          <w:szCs w:val="44"/>
          <w:highlight w:val="none"/>
        </w:rPr>
        <w:t>拨付管理制度</w:t>
      </w:r>
      <w:r>
        <w:rPr>
          <w:rFonts w:hint="eastAsia" w:ascii="方正小标宋简体" w:eastAsia="方正小标宋简体"/>
          <w:sz w:val="44"/>
          <w:szCs w:val="44"/>
          <w:highlight w:val="none"/>
        </w:rPr>
        <w:t>》的起草说明</w:t>
      </w:r>
    </w:p>
    <w:p>
      <w:pPr>
        <w:rPr>
          <w:rFonts w:hint="eastAsia" w:ascii="仿宋_GB2312" w:eastAsia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60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现就我局起草的《遂昌县财政涉农资金拨付管理制度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》有关情况说明如下：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一、起草背景及依据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600" w:lineRule="exact"/>
        <w:ind w:left="0" w:leftChars="0"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根据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财政部《关于加强地方预算执行管理加快支出进度的通知》（财预〔2018〕65号）、省财政厅转发《财政部关于加强地方预算执行管理加快支出进度的通知》（浙财预〔2018〕18号）、省财政厅《关于切实加强财政支农资金预算执行管理 加快支出进度的通知》（浙财函〔2018〕222号）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浙江省财政厅关于进一步加强直达资金预算执行管理的通知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浙财预执〔2021〕45号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《遂昌县人民政府办公室关于印发&lt;遂昌县财政结余结转资金管理办法&gt;的通知》（遂政办发〔201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〕12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号）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等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val="en-US" w:eastAsia="zh-CN"/>
        </w:rPr>
        <w:t>文件精神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，制定本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val="en-US" w:eastAsia="zh-CN"/>
        </w:rPr>
        <w:t>制度，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形成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val="en-US" w:eastAsia="zh-CN"/>
        </w:rPr>
        <w:t>征求意见稿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二、需要解决的主要问题</w:t>
      </w:r>
    </w:p>
    <w:p>
      <w:pPr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进一步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加快我县财政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涉农资金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预算执行，简化资金拨付环节，优化资金拨付流程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shd w:val="clear" w:color="auto" w:fill="FFFFFF"/>
        </w:rPr>
        <w:t>，便于主管部门掌握专项资金状况合理安排项目，提高财政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shd w:val="clear" w:color="auto" w:fill="FFFFFF"/>
          <w:lang w:eastAsia="zh-CN"/>
        </w:rPr>
        <w:t>涉农资金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shd w:val="clear" w:color="auto" w:fill="FFFFFF"/>
        </w:rPr>
        <w:t>使用效益</w:t>
      </w:r>
      <w:r>
        <w:rPr>
          <w:rFonts w:hint="eastAsia" w:eastAsia="仿宋_GB2312" w:cs="Times New Roman"/>
          <w:color w:val="0000FF"/>
          <w:spacing w:val="0"/>
          <w:w w:val="100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三、拟规定的主要制度和拟采取的主要措施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财政部门和项目主管部门应当加强财政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涉农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预算执行管理、加快支出进度，切实提高财政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农资金使用效益。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一是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加快财政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涉农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资金分配下达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；二是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加快财政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涉农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资金拨付进度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；三是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</w:rPr>
        <w:t>推进财政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涉农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存量资金的统筹使用。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/>
          <w:sz w:val="32"/>
          <w:szCs w:val="32"/>
        </w:rPr>
        <w:t>、其他需要说明的情况</w:t>
      </w:r>
    </w:p>
    <w:p>
      <w:p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无。</w:t>
      </w:r>
    </w:p>
    <w:p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E6A2CD0"/>
    <w:rsid w:val="2FD05E46"/>
    <w:rsid w:val="308A7447"/>
    <w:rsid w:val="33BB5012"/>
    <w:rsid w:val="37C7490F"/>
    <w:rsid w:val="40AA4B97"/>
    <w:rsid w:val="48187836"/>
    <w:rsid w:val="4D3D5631"/>
    <w:rsid w:val="70AD5076"/>
    <w:rsid w:val="7B713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pacing w:line="580" w:lineRule="exact"/>
      <w:ind w:firstLine="400" w:firstLineChars="200"/>
      <w:outlineLvl w:val="0"/>
    </w:pPr>
    <w:rPr>
      <w:rFonts w:eastAsia="黑体"/>
      <w:bCs/>
      <w:kern w:val="44"/>
      <w:szCs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2024-09-05T03:06:00Z</dcterms:created>
  <dc:creator>肖屹浒</dc:creator>
  <cp:lastModifiedBy>朱晓奋</cp:lastModifiedBy>
  <dcterms:modified xsi:type="dcterms:W3CDTF">2024-11-19T00:27:37Z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BC9ADBF520B042028FC4FFF65CFD534E</vt:lpwstr>
  </property>
</Properties>
</file>