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hint="eastAsia" w:ascii="黑体" w:hAnsi="黑体" w:eastAsia="黑体" w:cs="黑体"/>
          <w:b/>
          <w:bCs/>
          <w:kern w:val="44"/>
          <w:sz w:val="52"/>
          <w:szCs w:val="52"/>
        </w:rPr>
      </w:pPr>
    </w:p>
    <w:p>
      <w:pPr>
        <w:snapToGrid w:val="0"/>
        <w:jc w:val="center"/>
        <w:rPr>
          <w:rFonts w:hint="eastAsia" w:ascii="黑体" w:hAnsi="黑体" w:eastAsia="黑体" w:cs="黑体"/>
          <w:b/>
          <w:bCs/>
          <w:kern w:val="44"/>
          <w:sz w:val="52"/>
          <w:szCs w:val="52"/>
        </w:rPr>
      </w:pPr>
      <w:r>
        <w:rPr>
          <w:rFonts w:hint="eastAsia" w:ascii="黑体" w:hAnsi="黑体" w:eastAsia="黑体" w:cs="黑体"/>
          <w:b/>
          <w:bCs/>
          <w:kern w:val="44"/>
          <w:sz w:val="52"/>
          <w:szCs w:val="52"/>
        </w:rPr>
        <w:t>遂昌县应急管理“十四五”规划</w:t>
      </w:r>
    </w:p>
    <w:p>
      <w:pPr>
        <w:snapToGrid w:val="0"/>
        <w:jc w:val="center"/>
        <w:rPr>
          <w:rFonts w:ascii="黑体" w:hAnsi="黑体" w:eastAsia="黑体" w:cs="黑体"/>
          <w:b/>
          <w:bCs/>
          <w:kern w:val="44"/>
          <w:sz w:val="52"/>
          <w:szCs w:val="52"/>
        </w:rPr>
      </w:pPr>
      <w:r>
        <w:rPr>
          <w:rFonts w:hint="eastAsia" w:ascii="黑体" w:hAnsi="黑体" w:eastAsia="黑体" w:cs="黑体"/>
          <w:b/>
          <w:bCs/>
          <w:kern w:val="44"/>
          <w:sz w:val="52"/>
          <w:szCs w:val="52"/>
        </w:rPr>
        <w:t>（2021</w:t>
      </w:r>
      <w:r>
        <w:rPr>
          <w:rFonts w:ascii="黑体" w:hAnsi="黑体" w:eastAsia="黑体" w:cs="黑体"/>
          <w:b/>
          <w:bCs/>
          <w:kern w:val="44"/>
          <w:sz w:val="52"/>
          <w:szCs w:val="52"/>
        </w:rPr>
        <w:t>---</w:t>
      </w:r>
      <w:r>
        <w:rPr>
          <w:rFonts w:hint="eastAsia" w:ascii="黑体" w:hAnsi="黑体" w:eastAsia="黑体" w:cs="黑体"/>
          <w:b/>
          <w:bCs/>
          <w:kern w:val="44"/>
          <w:sz w:val="52"/>
          <w:szCs w:val="52"/>
        </w:rPr>
        <w:t>20</w:t>
      </w:r>
      <w:r>
        <w:rPr>
          <w:rFonts w:hint="eastAsia" w:ascii="黑体" w:hAnsi="黑体" w:eastAsia="黑体" w:cs="黑体"/>
          <w:b/>
          <w:bCs/>
          <w:kern w:val="44"/>
          <w:sz w:val="52"/>
          <w:szCs w:val="52"/>
          <w:lang w:val="en-US" w:eastAsia="zh-CN"/>
        </w:rPr>
        <w:t>25</w:t>
      </w:r>
      <w:r>
        <w:rPr>
          <w:rFonts w:hint="eastAsia" w:ascii="黑体" w:hAnsi="黑体" w:eastAsia="黑体" w:cs="黑体"/>
          <w:b/>
          <w:bCs/>
          <w:kern w:val="44"/>
          <w:sz w:val="52"/>
          <w:szCs w:val="52"/>
        </w:rPr>
        <w:t>）</w:t>
      </w:r>
    </w:p>
    <w:p>
      <w:pPr>
        <w:snapToGrid w:val="0"/>
      </w:pPr>
    </w:p>
    <w:p>
      <w:pPr>
        <w:snapToGrid w:val="0"/>
        <w:jc w:val="center"/>
        <w:rPr>
          <w:rFonts w:ascii="黑体" w:hAnsi="黑体" w:eastAsia="黑体" w:cs="黑体"/>
          <w:sz w:val="36"/>
          <w:szCs w:val="36"/>
        </w:rPr>
      </w:pPr>
      <w:r>
        <w:rPr>
          <w:rFonts w:hint="eastAsia" w:ascii="黑体" w:hAnsi="黑体" w:eastAsia="黑体" w:cs="黑体"/>
          <w:sz w:val="36"/>
          <w:szCs w:val="36"/>
        </w:rPr>
        <w:t>（</w:t>
      </w:r>
      <w:r>
        <w:rPr>
          <w:rFonts w:hint="eastAsia" w:ascii="黑体" w:hAnsi="黑体" w:eastAsia="黑体" w:cs="黑体"/>
          <w:sz w:val="36"/>
          <w:szCs w:val="36"/>
          <w:lang w:eastAsia="zh-CN"/>
        </w:rPr>
        <w:t>征求意见</w:t>
      </w:r>
      <w:r>
        <w:rPr>
          <w:rFonts w:hint="eastAsia" w:ascii="黑体" w:hAnsi="黑体" w:eastAsia="黑体" w:cs="黑体"/>
          <w:sz w:val="36"/>
          <w:szCs w:val="36"/>
        </w:rPr>
        <w:t>稿）</w:t>
      </w:r>
    </w:p>
    <w:p>
      <w:pPr>
        <w:snapToGrid w:val="0"/>
      </w:pPr>
    </w:p>
    <w:p>
      <w:pPr>
        <w:snapToGrid w:val="0"/>
      </w:pPr>
    </w:p>
    <w:p>
      <w:pPr>
        <w:snapToGrid w:val="0"/>
      </w:pPr>
    </w:p>
    <w:p>
      <w:pPr>
        <w:snapToGrid w:val="0"/>
      </w:pPr>
    </w:p>
    <w:p>
      <w:pPr>
        <w:snapToGrid w:val="0"/>
      </w:pPr>
    </w:p>
    <w:p>
      <w:pPr>
        <w:snapToGrid w:val="0"/>
      </w:pPr>
    </w:p>
    <w:p>
      <w:pPr>
        <w:snapToGrid w:val="0"/>
      </w:pPr>
    </w:p>
    <w:p>
      <w:pPr>
        <w:snapToGrid w:val="0"/>
        <w:rPr>
          <w:rFonts w:hint="eastAsia"/>
        </w:rPr>
      </w:pPr>
    </w:p>
    <w:p>
      <w:pPr>
        <w:snapToGrid w:val="0"/>
        <w:rPr>
          <w:rFonts w:eastAsia="楷体_GB2312"/>
          <w:sz w:val="36"/>
          <w:szCs w:val="36"/>
        </w:rPr>
      </w:pPr>
    </w:p>
    <w:p>
      <w:pPr>
        <w:snapToGrid w:val="0"/>
        <w:rPr>
          <w:rFonts w:eastAsia="楷体_GB2312"/>
          <w:sz w:val="36"/>
          <w:szCs w:val="36"/>
        </w:rPr>
      </w:pPr>
    </w:p>
    <w:p>
      <w:pPr>
        <w:snapToGrid w:val="0"/>
        <w:rPr>
          <w:rFonts w:eastAsia="楷体_GB2312"/>
          <w:sz w:val="36"/>
          <w:szCs w:val="36"/>
        </w:rPr>
      </w:pPr>
    </w:p>
    <w:p>
      <w:pPr>
        <w:snapToGrid w:val="0"/>
        <w:rPr>
          <w:rFonts w:eastAsia="楷体_GB2312"/>
          <w:sz w:val="36"/>
          <w:szCs w:val="36"/>
        </w:rPr>
      </w:pPr>
    </w:p>
    <w:p>
      <w:pPr>
        <w:snapToGrid w:val="0"/>
        <w:rPr>
          <w:rFonts w:hint="eastAsia" w:eastAsia="楷体_GB2312"/>
          <w:sz w:val="36"/>
          <w:szCs w:val="36"/>
        </w:rPr>
      </w:pPr>
    </w:p>
    <w:p>
      <w:pPr>
        <w:snapToGrid w:val="0"/>
        <w:rPr>
          <w:rFonts w:hint="eastAsia" w:eastAsia="楷体_GB2312"/>
          <w:sz w:val="36"/>
          <w:szCs w:val="36"/>
        </w:rPr>
      </w:pPr>
    </w:p>
    <w:p>
      <w:pPr>
        <w:snapToGrid w:val="0"/>
        <w:rPr>
          <w:rFonts w:hint="eastAsia" w:eastAsia="楷体_GB2312"/>
          <w:sz w:val="36"/>
          <w:szCs w:val="36"/>
        </w:rPr>
      </w:pPr>
    </w:p>
    <w:p>
      <w:pPr>
        <w:snapToGrid w:val="0"/>
        <w:rPr>
          <w:rFonts w:hint="eastAsia" w:eastAsia="楷体_GB2312"/>
          <w:sz w:val="36"/>
          <w:szCs w:val="36"/>
        </w:rPr>
      </w:pPr>
    </w:p>
    <w:p>
      <w:pPr>
        <w:snapToGrid w:val="0"/>
        <w:jc w:val="center"/>
        <w:rPr>
          <w:rFonts w:eastAsia="楷体_GB2312"/>
          <w:sz w:val="36"/>
          <w:szCs w:val="36"/>
        </w:rPr>
      </w:pPr>
    </w:p>
    <w:p>
      <w:pPr>
        <w:snapToGrid w:val="0"/>
        <w:jc w:val="center"/>
        <w:rPr>
          <w:rFonts w:hint="eastAsia" w:ascii="黑体" w:hAnsi="黑体" w:eastAsia="黑体" w:cs="黑体"/>
          <w:sz w:val="36"/>
          <w:szCs w:val="36"/>
        </w:rPr>
      </w:pPr>
      <w:r>
        <w:rPr>
          <w:rFonts w:hint="eastAsia" w:ascii="黑体" w:hAnsi="黑体" w:eastAsia="黑体" w:cs="黑体"/>
          <w:sz w:val="36"/>
          <w:szCs w:val="36"/>
        </w:rPr>
        <w:t>遂昌县应急管理局</w:t>
      </w:r>
    </w:p>
    <w:p>
      <w:pPr>
        <w:snapToGrid w:val="0"/>
        <w:jc w:val="center"/>
        <w:rPr>
          <w:rFonts w:hint="eastAsia" w:ascii="黑体" w:hAnsi="黑体" w:eastAsia="黑体" w:cs="黑体"/>
          <w:sz w:val="36"/>
          <w:szCs w:val="36"/>
        </w:rPr>
      </w:pPr>
      <w:r>
        <w:rPr>
          <w:rFonts w:hint="eastAsia" w:ascii="黑体" w:hAnsi="黑体" w:eastAsia="黑体" w:cs="黑体"/>
          <w:sz w:val="36"/>
          <w:szCs w:val="36"/>
        </w:rPr>
        <w:t xml:space="preserve">二〇二一年 </w:t>
      </w:r>
    </w:p>
    <w:p>
      <w:pPr>
        <w:snapToGrid w:val="0"/>
        <w:jc w:val="center"/>
        <w:rPr>
          <w:rFonts w:ascii="黑体" w:hAnsi="黑体" w:eastAsia="黑体" w:cs="黑体"/>
          <w:sz w:val="36"/>
          <w:szCs w:val="36"/>
        </w:rPr>
      </w:pPr>
      <w:r>
        <w:rPr>
          <w:rFonts w:ascii="黑体" w:hAnsi="黑体" w:eastAsia="黑体" w:cs="黑体"/>
          <w:sz w:val="36"/>
          <w:szCs w:val="36"/>
        </w:rPr>
        <w:t xml:space="preserve"> </w:t>
      </w:r>
    </w:p>
    <w:p>
      <w:pPr>
        <w:snapToGrid w:val="0"/>
        <w:jc w:val="center"/>
        <w:rPr>
          <w:rFonts w:ascii="黑体" w:hAnsi="黑体" w:eastAsia="黑体" w:cs="黑体"/>
          <w:sz w:val="36"/>
          <w:szCs w:val="36"/>
        </w:rPr>
        <w:sectPr>
          <w:footerReference r:id="rId3" w:type="default"/>
          <w:pgSz w:w="11906" w:h="16838"/>
          <w:pgMar w:top="1440" w:right="1474" w:bottom="1418" w:left="1531" w:header="851" w:footer="992" w:gutter="0"/>
          <w:pgNumType w:fmt="upperRoman" w:start="1"/>
          <w:cols w:space="425" w:num="1"/>
          <w:titlePg/>
          <w:docGrid w:type="lines" w:linePitch="312" w:charSpace="0"/>
        </w:sectPr>
      </w:pPr>
    </w:p>
    <w:p>
      <w:pPr>
        <w:snapToGrid w:val="0"/>
        <w:spacing w:line="300" w:lineRule="auto"/>
        <w:jc w:val="center"/>
        <w:rPr>
          <w:rFonts w:hint="eastAsia" w:ascii="黑体" w:hAnsi="黑体" w:eastAsia="黑体" w:cs="黑体"/>
          <w:sz w:val="36"/>
          <w:szCs w:val="36"/>
        </w:rPr>
      </w:pPr>
      <w:r>
        <w:rPr>
          <w:rFonts w:hint="eastAsia" w:ascii="黑体" w:hAnsi="黑体" w:eastAsia="黑体" w:cs="黑体"/>
          <w:sz w:val="36"/>
          <w:szCs w:val="36"/>
        </w:rPr>
        <w:t>目 录</w:t>
      </w:r>
    </w:p>
    <w:p>
      <w:pPr>
        <w:pStyle w:val="15"/>
        <w:tabs>
          <w:tab w:val="right" w:leader="dot" w:pos="8891"/>
        </w:tabs>
        <w:snapToGrid w:val="0"/>
        <w:spacing w:line="300" w:lineRule="auto"/>
        <w:rPr>
          <w:rFonts w:asciiTheme="minorHAnsi" w:hAnsiTheme="minorHAnsi" w:cstheme="minorBidi"/>
          <w:kern w:val="2"/>
          <w:sz w:val="28"/>
          <w:szCs w:val="28"/>
        </w:rPr>
      </w:pPr>
      <w:r>
        <w:rPr>
          <w:sz w:val="28"/>
          <w:szCs w:val="28"/>
        </w:rPr>
        <w:fldChar w:fldCharType="begin"/>
      </w:r>
      <w:r>
        <w:rPr>
          <w:sz w:val="28"/>
          <w:szCs w:val="28"/>
        </w:rPr>
        <w:instrText xml:space="preserve"> </w:instrText>
      </w:r>
      <w:r>
        <w:rPr>
          <w:rFonts w:hint="eastAsia"/>
          <w:sz w:val="28"/>
          <w:szCs w:val="28"/>
        </w:rPr>
        <w:instrText xml:space="preserve">TOC \o "1-3" \h \z</w:instrText>
      </w:r>
      <w:r>
        <w:rPr>
          <w:sz w:val="28"/>
          <w:szCs w:val="28"/>
        </w:rPr>
        <w:instrText xml:space="preserve"> </w:instrText>
      </w:r>
      <w:r>
        <w:rPr>
          <w:sz w:val="28"/>
          <w:szCs w:val="28"/>
        </w:rPr>
        <w:fldChar w:fldCharType="separate"/>
      </w:r>
      <w:r>
        <w:fldChar w:fldCharType="begin"/>
      </w:r>
      <w:r>
        <w:instrText xml:space="preserve"> HYPERLINK \l "_Toc88430405" </w:instrText>
      </w:r>
      <w:r>
        <w:fldChar w:fldCharType="separate"/>
      </w:r>
      <w:r>
        <w:rPr>
          <w:rStyle w:val="27"/>
          <w:rFonts w:eastAsia="黑体"/>
          <w:sz w:val="28"/>
          <w:szCs w:val="28"/>
          <w:lang w:bidi="zh-TW"/>
        </w:rPr>
        <w:t>一、改革与发展基础</w:t>
      </w:r>
      <w:r>
        <w:rPr>
          <w:sz w:val="28"/>
          <w:szCs w:val="28"/>
        </w:rPr>
        <w:tab/>
      </w:r>
      <w:r>
        <w:rPr>
          <w:sz w:val="28"/>
          <w:szCs w:val="28"/>
        </w:rPr>
        <w:fldChar w:fldCharType="begin"/>
      </w:r>
      <w:r>
        <w:rPr>
          <w:sz w:val="28"/>
          <w:szCs w:val="28"/>
        </w:rPr>
        <w:instrText xml:space="preserve"> PAGEREF _Toc88430405 \h </w:instrText>
      </w:r>
      <w:r>
        <w:rPr>
          <w:sz w:val="28"/>
          <w:szCs w:val="28"/>
        </w:rPr>
        <w:fldChar w:fldCharType="separate"/>
      </w:r>
      <w:r>
        <w:rPr>
          <w:sz w:val="28"/>
          <w:szCs w:val="28"/>
        </w:rPr>
        <w:t>1</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"_Toc88430406" </w:instrText>
      </w:r>
      <w:r>
        <w:fldChar w:fldCharType="separate"/>
      </w:r>
      <w:r>
        <w:rPr>
          <w:rStyle w:val="27"/>
          <w:rFonts w:eastAsia="楷体"/>
          <w:sz w:val="28"/>
          <w:szCs w:val="28"/>
          <w:lang w:bidi="en-US"/>
        </w:rPr>
        <w:t>（一）“十三五”期间工作评估</w:t>
      </w:r>
      <w:r>
        <w:rPr>
          <w:sz w:val="28"/>
          <w:szCs w:val="28"/>
        </w:rPr>
        <w:tab/>
      </w:r>
      <w:r>
        <w:rPr>
          <w:sz w:val="28"/>
          <w:szCs w:val="28"/>
        </w:rPr>
        <w:fldChar w:fldCharType="begin"/>
      </w:r>
      <w:r>
        <w:rPr>
          <w:sz w:val="28"/>
          <w:szCs w:val="28"/>
        </w:rPr>
        <w:instrText xml:space="preserve"> PAGEREF _Toc88430406 \h </w:instrText>
      </w:r>
      <w:r>
        <w:rPr>
          <w:sz w:val="28"/>
          <w:szCs w:val="28"/>
        </w:rPr>
        <w:fldChar w:fldCharType="separate"/>
      </w:r>
      <w:r>
        <w:rPr>
          <w:sz w:val="28"/>
          <w:szCs w:val="28"/>
        </w:rPr>
        <w:t>1</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"_Toc88430407" </w:instrText>
      </w:r>
      <w:r>
        <w:fldChar w:fldCharType="separate"/>
      </w:r>
      <w:r>
        <w:rPr>
          <w:rStyle w:val="27"/>
          <w:rFonts w:eastAsia="楷体"/>
          <w:sz w:val="28"/>
          <w:szCs w:val="28"/>
          <w:lang w:bidi="en-US"/>
        </w:rPr>
        <w:t>（二）发展的机遇</w:t>
      </w:r>
      <w:r>
        <w:rPr>
          <w:sz w:val="28"/>
          <w:szCs w:val="28"/>
        </w:rPr>
        <w:tab/>
      </w:r>
      <w:r>
        <w:rPr>
          <w:sz w:val="28"/>
          <w:szCs w:val="28"/>
        </w:rPr>
        <w:fldChar w:fldCharType="begin"/>
      </w:r>
      <w:r>
        <w:rPr>
          <w:sz w:val="28"/>
          <w:szCs w:val="28"/>
        </w:rPr>
        <w:instrText xml:space="preserve"> PAGEREF _Toc88430407 \h </w:instrText>
      </w:r>
      <w:r>
        <w:rPr>
          <w:sz w:val="28"/>
          <w:szCs w:val="28"/>
        </w:rPr>
        <w:fldChar w:fldCharType="separate"/>
      </w:r>
      <w:r>
        <w:rPr>
          <w:sz w:val="28"/>
          <w:szCs w:val="28"/>
        </w:rPr>
        <w:t>4</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"_Toc88430408" </w:instrText>
      </w:r>
      <w:r>
        <w:fldChar w:fldCharType="separate"/>
      </w:r>
      <w:r>
        <w:rPr>
          <w:rStyle w:val="27"/>
          <w:rFonts w:eastAsia="楷体"/>
          <w:sz w:val="28"/>
          <w:szCs w:val="28"/>
          <w:lang w:bidi="en-US"/>
        </w:rPr>
        <w:t>（三）面临的挑战</w:t>
      </w:r>
      <w:r>
        <w:rPr>
          <w:sz w:val="28"/>
          <w:szCs w:val="28"/>
        </w:rPr>
        <w:tab/>
      </w:r>
      <w:r>
        <w:rPr>
          <w:sz w:val="28"/>
          <w:szCs w:val="28"/>
        </w:rPr>
        <w:fldChar w:fldCharType="begin"/>
      </w:r>
      <w:r>
        <w:rPr>
          <w:sz w:val="28"/>
          <w:szCs w:val="28"/>
        </w:rPr>
        <w:instrText xml:space="preserve"> PAGEREF _Toc88430408 \h </w:instrText>
      </w:r>
      <w:r>
        <w:rPr>
          <w:sz w:val="28"/>
          <w:szCs w:val="28"/>
        </w:rPr>
        <w:fldChar w:fldCharType="separate"/>
      </w:r>
      <w:r>
        <w:rPr>
          <w:sz w:val="28"/>
          <w:szCs w:val="28"/>
        </w:rPr>
        <w:t>5</w:t>
      </w:r>
      <w:r>
        <w:rPr>
          <w:sz w:val="28"/>
          <w:szCs w:val="28"/>
        </w:rPr>
        <w:fldChar w:fldCharType="end"/>
      </w:r>
      <w:r>
        <w:rPr>
          <w:sz w:val="28"/>
          <w:szCs w:val="28"/>
        </w:rPr>
        <w:fldChar w:fldCharType="end"/>
      </w:r>
    </w:p>
    <w:p>
      <w:pPr>
        <w:pStyle w:val="15"/>
        <w:tabs>
          <w:tab w:val="right" w:leader="dot" w:pos="8891"/>
        </w:tabs>
        <w:snapToGrid w:val="0"/>
        <w:spacing w:line="300" w:lineRule="auto"/>
        <w:rPr>
          <w:rFonts w:asciiTheme="minorHAnsi" w:hAnsiTheme="minorHAnsi" w:cstheme="minorBidi"/>
          <w:kern w:val="2"/>
          <w:sz w:val="28"/>
          <w:szCs w:val="28"/>
        </w:rPr>
      </w:pPr>
      <w:r>
        <w:fldChar w:fldCharType="begin"/>
      </w:r>
      <w:r>
        <w:instrText xml:space="preserve"> HYPERLINK \l "_Toc88430409" </w:instrText>
      </w:r>
      <w:r>
        <w:fldChar w:fldCharType="separate"/>
      </w:r>
      <w:r>
        <w:rPr>
          <w:rStyle w:val="27"/>
          <w:rFonts w:eastAsia="黑体"/>
          <w:sz w:val="28"/>
          <w:szCs w:val="28"/>
          <w:lang w:bidi="zh-TW"/>
        </w:rPr>
        <w:t>二、指导思想与发展目标</w:t>
      </w:r>
      <w:r>
        <w:rPr>
          <w:sz w:val="28"/>
          <w:szCs w:val="28"/>
        </w:rPr>
        <w:tab/>
      </w:r>
      <w:r>
        <w:rPr>
          <w:sz w:val="28"/>
          <w:szCs w:val="28"/>
        </w:rPr>
        <w:fldChar w:fldCharType="begin"/>
      </w:r>
      <w:r>
        <w:rPr>
          <w:sz w:val="28"/>
          <w:szCs w:val="28"/>
        </w:rPr>
        <w:instrText xml:space="preserve"> PAGEREF _Toc88430409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"_Toc88430410" </w:instrText>
      </w:r>
      <w:r>
        <w:fldChar w:fldCharType="separate"/>
      </w:r>
      <w:r>
        <w:rPr>
          <w:rStyle w:val="27"/>
          <w:rFonts w:eastAsia="楷体"/>
          <w:sz w:val="28"/>
          <w:szCs w:val="28"/>
          <w:lang w:bidi="en-US"/>
        </w:rPr>
        <w:t>（一）指导思想</w:t>
      </w:r>
      <w:r>
        <w:rPr>
          <w:sz w:val="28"/>
          <w:szCs w:val="28"/>
        </w:rPr>
        <w:tab/>
      </w:r>
      <w:r>
        <w:rPr>
          <w:sz w:val="28"/>
          <w:szCs w:val="28"/>
        </w:rPr>
        <w:fldChar w:fldCharType="begin"/>
      </w:r>
      <w:r>
        <w:rPr>
          <w:sz w:val="28"/>
          <w:szCs w:val="28"/>
        </w:rPr>
        <w:instrText xml:space="preserve"> PAGEREF _Toc88430410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"_Toc88430411" </w:instrText>
      </w:r>
      <w:r>
        <w:fldChar w:fldCharType="separate"/>
      </w:r>
      <w:r>
        <w:rPr>
          <w:rStyle w:val="27"/>
          <w:rFonts w:eastAsia="楷体"/>
          <w:sz w:val="28"/>
          <w:szCs w:val="28"/>
          <w:lang w:bidi="en-US"/>
        </w:rPr>
        <w:t>（二）基本原则</w:t>
      </w:r>
      <w:r>
        <w:rPr>
          <w:sz w:val="28"/>
          <w:szCs w:val="28"/>
        </w:rPr>
        <w:tab/>
      </w:r>
      <w:r>
        <w:rPr>
          <w:sz w:val="28"/>
          <w:szCs w:val="28"/>
        </w:rPr>
        <w:fldChar w:fldCharType="begin"/>
      </w:r>
      <w:r>
        <w:rPr>
          <w:sz w:val="28"/>
          <w:szCs w:val="28"/>
        </w:rPr>
        <w:instrText xml:space="preserve"> PAGEREF _Toc88430411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"_Toc88430412" </w:instrText>
      </w:r>
      <w:r>
        <w:fldChar w:fldCharType="separate"/>
      </w:r>
      <w:r>
        <w:rPr>
          <w:rStyle w:val="27"/>
          <w:rFonts w:eastAsia="楷体"/>
          <w:sz w:val="28"/>
          <w:szCs w:val="28"/>
          <w:lang w:bidi="en-US"/>
        </w:rPr>
        <w:t>（三）发展目标</w:t>
      </w:r>
      <w:r>
        <w:rPr>
          <w:sz w:val="28"/>
          <w:szCs w:val="28"/>
        </w:rPr>
        <w:tab/>
      </w:r>
      <w:r>
        <w:rPr>
          <w:sz w:val="28"/>
          <w:szCs w:val="28"/>
        </w:rPr>
        <w:fldChar w:fldCharType="begin"/>
      </w:r>
      <w:r>
        <w:rPr>
          <w:sz w:val="28"/>
          <w:szCs w:val="28"/>
        </w:rPr>
        <w:instrText xml:space="preserve"> PAGEREF _Toc88430412 \h </w:instrText>
      </w:r>
      <w:r>
        <w:rPr>
          <w:sz w:val="28"/>
          <w:szCs w:val="28"/>
        </w:rPr>
        <w:fldChar w:fldCharType="separate"/>
      </w:r>
      <w:r>
        <w:rPr>
          <w:sz w:val="28"/>
          <w:szCs w:val="28"/>
        </w:rPr>
        <w:t>7</w:t>
      </w:r>
      <w:r>
        <w:rPr>
          <w:sz w:val="28"/>
          <w:szCs w:val="28"/>
        </w:rPr>
        <w:fldChar w:fldCharType="end"/>
      </w:r>
      <w:r>
        <w:rPr>
          <w:sz w:val="28"/>
          <w:szCs w:val="28"/>
        </w:rPr>
        <w:fldChar w:fldCharType="end"/>
      </w:r>
    </w:p>
    <w:p>
      <w:pPr>
        <w:pStyle w:val="15"/>
        <w:tabs>
          <w:tab w:val="right" w:leader="dot" w:pos="8891"/>
        </w:tabs>
        <w:snapToGrid w:val="0"/>
        <w:spacing w:line="300" w:lineRule="auto"/>
        <w:rPr>
          <w:rFonts w:asciiTheme="minorHAnsi" w:hAnsiTheme="minorHAnsi" w:cstheme="minorBidi"/>
          <w:kern w:val="2"/>
          <w:sz w:val="28"/>
          <w:szCs w:val="28"/>
        </w:rPr>
      </w:pPr>
      <w:r>
        <w:fldChar w:fldCharType="begin"/>
      </w:r>
      <w:r>
        <w:instrText xml:space="preserve"> HYPERLINK \l "_Toc88430413" </w:instrText>
      </w:r>
      <w:r>
        <w:fldChar w:fldCharType="separate"/>
      </w:r>
      <w:r>
        <w:rPr>
          <w:rStyle w:val="27"/>
          <w:rFonts w:eastAsia="黑体"/>
          <w:sz w:val="28"/>
          <w:szCs w:val="28"/>
          <w:lang w:bidi="zh-TW"/>
        </w:rPr>
        <w:t>三、工作任务</w:t>
      </w:r>
      <w:r>
        <w:rPr>
          <w:sz w:val="28"/>
          <w:szCs w:val="28"/>
        </w:rPr>
        <w:tab/>
      </w:r>
      <w:r>
        <w:rPr>
          <w:sz w:val="28"/>
          <w:szCs w:val="28"/>
        </w:rPr>
        <w:fldChar w:fldCharType="begin"/>
      </w:r>
      <w:r>
        <w:rPr>
          <w:sz w:val="28"/>
          <w:szCs w:val="28"/>
        </w:rPr>
        <w:instrText xml:space="preserve"> PAGEREF _Toc88430413 \h </w:instrText>
      </w:r>
      <w:r>
        <w:rPr>
          <w:sz w:val="28"/>
          <w:szCs w:val="28"/>
        </w:rPr>
        <w:fldChar w:fldCharType="separate"/>
      </w:r>
      <w:r>
        <w:rPr>
          <w:sz w:val="28"/>
          <w:szCs w:val="28"/>
        </w:rPr>
        <w:t>9</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"_Toc88430414" </w:instrText>
      </w:r>
      <w:r>
        <w:fldChar w:fldCharType="separate"/>
      </w:r>
      <w:r>
        <w:rPr>
          <w:rStyle w:val="27"/>
          <w:rFonts w:eastAsia="楷体"/>
          <w:sz w:val="28"/>
          <w:szCs w:val="28"/>
          <w:lang w:bidi="en-US"/>
        </w:rPr>
        <w:t>（一）构建权威高效的应急责任体系，全面提升执行落实能力</w:t>
      </w:r>
      <w:r>
        <w:rPr>
          <w:sz w:val="28"/>
          <w:szCs w:val="28"/>
        </w:rPr>
        <w:tab/>
      </w:r>
      <w:r>
        <w:rPr>
          <w:sz w:val="28"/>
          <w:szCs w:val="28"/>
        </w:rPr>
        <w:fldChar w:fldCharType="begin"/>
      </w:r>
      <w:r>
        <w:rPr>
          <w:sz w:val="28"/>
          <w:szCs w:val="28"/>
        </w:rPr>
        <w:instrText xml:space="preserve"> PAGEREF _Toc88430414 \h </w:instrText>
      </w:r>
      <w:r>
        <w:rPr>
          <w:sz w:val="28"/>
          <w:szCs w:val="28"/>
        </w:rPr>
        <w:fldChar w:fldCharType="separate"/>
      </w:r>
      <w:r>
        <w:rPr>
          <w:sz w:val="28"/>
          <w:szCs w:val="28"/>
        </w:rPr>
        <w:t>9</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"_Toc88430415" </w:instrText>
      </w:r>
      <w:r>
        <w:fldChar w:fldCharType="separate"/>
      </w:r>
      <w:r>
        <w:rPr>
          <w:rStyle w:val="27"/>
          <w:rFonts w:eastAsia="楷体"/>
          <w:sz w:val="28"/>
          <w:szCs w:val="28"/>
          <w:lang w:bidi="en-US"/>
        </w:rPr>
        <w:t>（二）构建综合立体的风险管控体系，全面提升防范防治能力</w:t>
      </w:r>
      <w:r>
        <w:rPr>
          <w:sz w:val="28"/>
          <w:szCs w:val="28"/>
        </w:rPr>
        <w:tab/>
      </w:r>
      <w:r>
        <w:rPr>
          <w:sz w:val="28"/>
          <w:szCs w:val="28"/>
        </w:rPr>
        <w:fldChar w:fldCharType="begin"/>
      </w:r>
      <w:r>
        <w:rPr>
          <w:sz w:val="28"/>
          <w:szCs w:val="28"/>
        </w:rPr>
        <w:instrText xml:space="preserve"> PAGEREF _Toc88430415 \h </w:instrText>
      </w:r>
      <w:r>
        <w:rPr>
          <w:sz w:val="28"/>
          <w:szCs w:val="28"/>
        </w:rPr>
        <w:fldChar w:fldCharType="separate"/>
      </w:r>
      <w:r>
        <w:rPr>
          <w:sz w:val="28"/>
          <w:szCs w:val="28"/>
        </w:rPr>
        <w:t>10</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"_Toc88430416" </w:instrText>
      </w:r>
      <w:r>
        <w:fldChar w:fldCharType="separate"/>
      </w:r>
      <w:r>
        <w:rPr>
          <w:rStyle w:val="27"/>
          <w:rFonts w:eastAsia="楷体"/>
          <w:sz w:val="28"/>
          <w:szCs w:val="28"/>
          <w:lang w:bidi="en-US"/>
        </w:rPr>
        <w:t>（三）优化公正规范的监管执法体系，全面提升安全监管能力</w:t>
      </w:r>
      <w:r>
        <w:rPr>
          <w:sz w:val="28"/>
          <w:szCs w:val="28"/>
        </w:rPr>
        <w:tab/>
      </w:r>
      <w:r>
        <w:rPr>
          <w:sz w:val="28"/>
          <w:szCs w:val="28"/>
        </w:rPr>
        <w:fldChar w:fldCharType="begin"/>
      </w:r>
      <w:r>
        <w:rPr>
          <w:sz w:val="28"/>
          <w:szCs w:val="28"/>
        </w:rPr>
        <w:instrText xml:space="preserve"> PAGEREF _Toc88430416 \h </w:instrText>
      </w:r>
      <w:r>
        <w:rPr>
          <w:sz w:val="28"/>
          <w:szCs w:val="28"/>
        </w:rPr>
        <w:fldChar w:fldCharType="separate"/>
      </w:r>
      <w:r>
        <w:rPr>
          <w:sz w:val="28"/>
          <w:szCs w:val="28"/>
        </w:rPr>
        <w:t>13</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"_Toc88430417" </w:instrText>
      </w:r>
      <w:r>
        <w:fldChar w:fldCharType="separate"/>
      </w:r>
      <w:r>
        <w:rPr>
          <w:rStyle w:val="27"/>
          <w:rFonts w:eastAsia="楷体"/>
          <w:sz w:val="28"/>
          <w:szCs w:val="28"/>
          <w:lang w:bidi="en-US"/>
        </w:rPr>
        <w:t>（四）构建示范引领的科技支撑体系，全面提升数字赋能水平</w:t>
      </w:r>
      <w:r>
        <w:rPr>
          <w:sz w:val="28"/>
          <w:szCs w:val="28"/>
        </w:rPr>
        <w:tab/>
      </w:r>
      <w:r>
        <w:rPr>
          <w:sz w:val="28"/>
          <w:szCs w:val="28"/>
        </w:rPr>
        <w:fldChar w:fldCharType="begin"/>
      </w:r>
      <w:r>
        <w:rPr>
          <w:sz w:val="28"/>
          <w:szCs w:val="28"/>
        </w:rPr>
        <w:instrText xml:space="preserve"> PAGEREF _Toc88430417 \h </w:instrText>
      </w:r>
      <w:r>
        <w:rPr>
          <w:sz w:val="28"/>
          <w:szCs w:val="28"/>
        </w:rPr>
        <w:fldChar w:fldCharType="separate"/>
      </w:r>
      <w:r>
        <w:rPr>
          <w:sz w:val="28"/>
          <w:szCs w:val="28"/>
        </w:rPr>
        <w:t>14</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"_Toc88430418" </w:instrText>
      </w:r>
      <w:r>
        <w:fldChar w:fldCharType="separate"/>
      </w:r>
      <w:r>
        <w:rPr>
          <w:rStyle w:val="27"/>
          <w:rFonts w:eastAsia="楷体"/>
          <w:sz w:val="28"/>
          <w:szCs w:val="28"/>
          <w:lang w:bidi="en-US"/>
        </w:rPr>
        <w:t>（五）构建专业有序的应急救援体系，全面提升应急处置能力</w:t>
      </w:r>
      <w:r>
        <w:rPr>
          <w:sz w:val="28"/>
          <w:szCs w:val="28"/>
        </w:rPr>
        <w:tab/>
      </w:r>
      <w:r>
        <w:rPr>
          <w:sz w:val="28"/>
          <w:szCs w:val="28"/>
        </w:rPr>
        <w:fldChar w:fldCharType="begin"/>
      </w:r>
      <w:r>
        <w:rPr>
          <w:sz w:val="28"/>
          <w:szCs w:val="28"/>
        </w:rPr>
        <w:instrText xml:space="preserve"> PAGEREF _Toc88430418 \h </w:instrText>
      </w:r>
      <w:r>
        <w:rPr>
          <w:sz w:val="28"/>
          <w:szCs w:val="28"/>
        </w:rPr>
        <w:fldChar w:fldCharType="separate"/>
      </w:r>
      <w:r>
        <w:rPr>
          <w:sz w:val="28"/>
          <w:szCs w:val="28"/>
        </w:rPr>
        <w:t>15</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"_Toc88430419" </w:instrText>
      </w:r>
      <w:r>
        <w:fldChar w:fldCharType="separate"/>
      </w:r>
      <w:r>
        <w:rPr>
          <w:rStyle w:val="27"/>
          <w:rFonts w:eastAsia="楷体"/>
          <w:sz w:val="28"/>
          <w:szCs w:val="28"/>
          <w:lang w:bidi="en-US"/>
        </w:rPr>
        <w:t>（六）完善多元协作的减灾救灾体系，全面提升应急保障能力</w:t>
      </w:r>
      <w:r>
        <w:rPr>
          <w:sz w:val="28"/>
          <w:szCs w:val="28"/>
        </w:rPr>
        <w:tab/>
      </w:r>
      <w:r>
        <w:rPr>
          <w:sz w:val="28"/>
          <w:szCs w:val="28"/>
        </w:rPr>
        <w:fldChar w:fldCharType="begin"/>
      </w:r>
      <w:r>
        <w:rPr>
          <w:sz w:val="28"/>
          <w:szCs w:val="28"/>
        </w:rPr>
        <w:instrText xml:space="preserve"> PAGEREF _Toc88430419 \h </w:instrText>
      </w:r>
      <w:r>
        <w:rPr>
          <w:sz w:val="28"/>
          <w:szCs w:val="28"/>
        </w:rPr>
        <w:fldChar w:fldCharType="separate"/>
      </w:r>
      <w:r>
        <w:rPr>
          <w:sz w:val="28"/>
          <w:szCs w:val="28"/>
        </w:rPr>
        <w:t>17</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"_Toc88430420" </w:instrText>
      </w:r>
      <w:r>
        <w:fldChar w:fldCharType="separate"/>
      </w:r>
      <w:r>
        <w:rPr>
          <w:rStyle w:val="27"/>
          <w:rFonts w:eastAsia="楷体"/>
          <w:sz w:val="28"/>
          <w:szCs w:val="28"/>
          <w:lang w:bidi="en-US"/>
        </w:rPr>
        <w:t>（七）构建共建共治的社会治理体系，全面提升全民应急能力</w:t>
      </w:r>
      <w:r>
        <w:rPr>
          <w:sz w:val="28"/>
          <w:szCs w:val="28"/>
        </w:rPr>
        <w:tab/>
      </w:r>
      <w:r>
        <w:rPr>
          <w:sz w:val="28"/>
          <w:szCs w:val="28"/>
        </w:rPr>
        <w:fldChar w:fldCharType="begin"/>
      </w:r>
      <w:r>
        <w:rPr>
          <w:sz w:val="28"/>
          <w:szCs w:val="28"/>
        </w:rPr>
        <w:instrText xml:space="preserve"> PAGEREF _Toc88430420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15"/>
        <w:tabs>
          <w:tab w:val="right" w:leader="dot" w:pos="8891"/>
        </w:tabs>
        <w:snapToGrid w:val="0"/>
        <w:spacing w:line="300" w:lineRule="auto"/>
        <w:rPr>
          <w:rFonts w:asciiTheme="minorHAnsi" w:hAnsiTheme="minorHAnsi" w:cstheme="minorBidi"/>
          <w:kern w:val="2"/>
          <w:sz w:val="28"/>
          <w:szCs w:val="28"/>
        </w:rPr>
      </w:pPr>
      <w:r>
        <w:fldChar w:fldCharType="begin"/>
      </w:r>
      <w:r>
        <w:instrText xml:space="preserve"> HYPERLINK \l "_Toc88430421" </w:instrText>
      </w:r>
      <w:r>
        <w:fldChar w:fldCharType="separate"/>
      </w:r>
      <w:r>
        <w:rPr>
          <w:rStyle w:val="27"/>
          <w:rFonts w:eastAsia="黑体"/>
          <w:sz w:val="28"/>
          <w:szCs w:val="28"/>
          <w:lang w:bidi="zh-TW"/>
        </w:rPr>
        <w:t>四、重点工程</w:t>
      </w:r>
      <w:r>
        <w:rPr>
          <w:sz w:val="28"/>
          <w:szCs w:val="28"/>
        </w:rPr>
        <w:tab/>
      </w:r>
      <w:r>
        <w:rPr>
          <w:sz w:val="28"/>
          <w:szCs w:val="28"/>
        </w:rPr>
        <w:fldChar w:fldCharType="begin"/>
      </w:r>
      <w:r>
        <w:rPr>
          <w:sz w:val="28"/>
          <w:szCs w:val="28"/>
        </w:rPr>
        <w:instrText xml:space="preserve"> PAGEREF _Toc88430421 \h </w:instrText>
      </w:r>
      <w:r>
        <w:rPr>
          <w:sz w:val="28"/>
          <w:szCs w:val="28"/>
        </w:rPr>
        <w:fldChar w:fldCharType="separate"/>
      </w:r>
      <w:r>
        <w:rPr>
          <w:sz w:val="28"/>
          <w:szCs w:val="28"/>
        </w:rPr>
        <w:t>19</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"_Toc88430422" </w:instrText>
      </w:r>
      <w:r>
        <w:fldChar w:fldCharType="separate"/>
      </w:r>
      <w:r>
        <w:rPr>
          <w:rStyle w:val="27"/>
          <w:rFonts w:eastAsia="楷体"/>
          <w:sz w:val="28"/>
          <w:szCs w:val="28"/>
          <w:lang w:bidi="en-US"/>
        </w:rPr>
        <w:t>（一）重点行业领域整治提升工程</w:t>
      </w:r>
      <w:r>
        <w:rPr>
          <w:sz w:val="28"/>
          <w:szCs w:val="28"/>
        </w:rPr>
        <w:tab/>
      </w:r>
      <w:r>
        <w:rPr>
          <w:sz w:val="28"/>
          <w:szCs w:val="28"/>
        </w:rPr>
        <w:fldChar w:fldCharType="begin"/>
      </w:r>
      <w:r>
        <w:rPr>
          <w:sz w:val="28"/>
          <w:szCs w:val="28"/>
        </w:rPr>
        <w:instrText xml:space="preserve"> PAGEREF _Toc88430422 \h </w:instrText>
      </w:r>
      <w:r>
        <w:rPr>
          <w:sz w:val="28"/>
          <w:szCs w:val="28"/>
        </w:rPr>
        <w:fldChar w:fldCharType="separate"/>
      </w:r>
      <w:r>
        <w:rPr>
          <w:sz w:val="28"/>
          <w:szCs w:val="28"/>
        </w:rPr>
        <w:t>19</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"_Toc88430423" </w:instrText>
      </w:r>
      <w:r>
        <w:fldChar w:fldCharType="separate"/>
      </w:r>
      <w:r>
        <w:rPr>
          <w:rStyle w:val="27"/>
          <w:rFonts w:eastAsia="楷体"/>
          <w:sz w:val="28"/>
          <w:szCs w:val="28"/>
          <w:lang w:bidi="en-US"/>
        </w:rPr>
        <w:t>（二）应急管理数字化建设工程</w:t>
      </w:r>
      <w:r>
        <w:rPr>
          <w:sz w:val="28"/>
          <w:szCs w:val="28"/>
        </w:rPr>
        <w:tab/>
      </w:r>
      <w:r>
        <w:rPr>
          <w:sz w:val="28"/>
          <w:szCs w:val="28"/>
        </w:rPr>
        <w:fldChar w:fldCharType="begin"/>
      </w:r>
      <w:r>
        <w:rPr>
          <w:sz w:val="28"/>
          <w:szCs w:val="28"/>
        </w:rPr>
        <w:instrText xml:space="preserve"> PAGEREF _Toc88430423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"_Toc88430424" </w:instrText>
      </w:r>
      <w:r>
        <w:fldChar w:fldCharType="separate"/>
      </w:r>
      <w:r>
        <w:rPr>
          <w:rStyle w:val="27"/>
          <w:rFonts w:eastAsia="楷体"/>
          <w:sz w:val="28"/>
          <w:szCs w:val="28"/>
          <w:lang w:bidi="en-US"/>
        </w:rPr>
        <w:t>（三）基层应急管理规范化建设工程</w:t>
      </w:r>
      <w:r>
        <w:rPr>
          <w:sz w:val="28"/>
          <w:szCs w:val="28"/>
        </w:rPr>
        <w:tab/>
      </w:r>
      <w:r>
        <w:rPr>
          <w:sz w:val="28"/>
          <w:szCs w:val="28"/>
        </w:rPr>
        <w:fldChar w:fldCharType="begin"/>
      </w:r>
      <w:r>
        <w:rPr>
          <w:sz w:val="28"/>
          <w:szCs w:val="28"/>
        </w:rPr>
        <w:instrText xml:space="preserve"> PAGEREF _Toc88430424 \h </w:instrText>
      </w:r>
      <w:r>
        <w:rPr>
          <w:sz w:val="28"/>
          <w:szCs w:val="28"/>
        </w:rPr>
        <w:fldChar w:fldCharType="separate"/>
      </w:r>
      <w:r>
        <w:rPr>
          <w:sz w:val="28"/>
          <w:szCs w:val="28"/>
        </w:rPr>
        <w:t>22</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"_Toc88430425" </w:instrText>
      </w:r>
      <w:r>
        <w:fldChar w:fldCharType="separate"/>
      </w:r>
      <w:r>
        <w:rPr>
          <w:rStyle w:val="27"/>
          <w:rFonts w:eastAsia="楷体"/>
          <w:sz w:val="28"/>
          <w:szCs w:val="28"/>
          <w:lang w:bidi="en-US"/>
        </w:rPr>
        <w:t>（四）综合减灾救灾能力建设工程</w:t>
      </w:r>
      <w:r>
        <w:rPr>
          <w:sz w:val="28"/>
          <w:szCs w:val="28"/>
        </w:rPr>
        <w:tab/>
      </w:r>
      <w:r>
        <w:rPr>
          <w:sz w:val="28"/>
          <w:szCs w:val="28"/>
        </w:rPr>
        <w:fldChar w:fldCharType="begin"/>
      </w:r>
      <w:r>
        <w:rPr>
          <w:sz w:val="28"/>
          <w:szCs w:val="28"/>
        </w:rPr>
        <w:instrText xml:space="preserve"> PAGEREF _Toc88430425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"_Toc88430426" </w:instrText>
      </w:r>
      <w:r>
        <w:fldChar w:fldCharType="separate"/>
      </w:r>
      <w:r>
        <w:rPr>
          <w:rStyle w:val="27"/>
          <w:rFonts w:eastAsia="楷体"/>
          <w:sz w:val="28"/>
          <w:szCs w:val="28"/>
          <w:lang w:bidi="en-US"/>
        </w:rPr>
        <w:t>（五）化工园区综合整治提升工程</w:t>
      </w:r>
      <w:r>
        <w:rPr>
          <w:sz w:val="28"/>
          <w:szCs w:val="28"/>
        </w:rPr>
        <w:tab/>
      </w:r>
      <w:r>
        <w:rPr>
          <w:sz w:val="28"/>
          <w:szCs w:val="28"/>
        </w:rPr>
        <w:fldChar w:fldCharType="begin"/>
      </w:r>
      <w:r>
        <w:rPr>
          <w:sz w:val="28"/>
          <w:szCs w:val="28"/>
        </w:rPr>
        <w:instrText xml:space="preserve"> PAGEREF _Toc88430426 \h </w:instrText>
      </w:r>
      <w:r>
        <w:rPr>
          <w:sz w:val="28"/>
          <w:szCs w:val="28"/>
        </w:rPr>
        <w:fldChar w:fldCharType="separate"/>
      </w:r>
      <w:r>
        <w:rPr>
          <w:sz w:val="28"/>
          <w:szCs w:val="28"/>
        </w:rPr>
        <w:t>24</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"_Toc88430427" </w:instrText>
      </w:r>
      <w:r>
        <w:fldChar w:fldCharType="separate"/>
      </w:r>
      <w:r>
        <w:rPr>
          <w:rStyle w:val="27"/>
          <w:rFonts w:eastAsia="楷体"/>
          <w:sz w:val="28"/>
          <w:szCs w:val="28"/>
          <w:lang w:bidi="en-US"/>
        </w:rPr>
        <w:t>（六）全民安全素养提升工程</w:t>
      </w:r>
      <w:r>
        <w:rPr>
          <w:sz w:val="28"/>
          <w:szCs w:val="28"/>
        </w:rPr>
        <w:tab/>
      </w:r>
      <w:r>
        <w:rPr>
          <w:sz w:val="28"/>
          <w:szCs w:val="28"/>
        </w:rPr>
        <w:fldChar w:fldCharType="begin"/>
      </w:r>
      <w:r>
        <w:rPr>
          <w:sz w:val="28"/>
          <w:szCs w:val="28"/>
        </w:rPr>
        <w:instrText xml:space="preserve"> PAGEREF _Toc88430427 \h </w:instrText>
      </w:r>
      <w:r>
        <w:rPr>
          <w:sz w:val="28"/>
          <w:szCs w:val="28"/>
        </w:rPr>
        <w:fldChar w:fldCharType="separate"/>
      </w:r>
      <w:r>
        <w:rPr>
          <w:sz w:val="28"/>
          <w:szCs w:val="28"/>
        </w:rPr>
        <w:t>25</w:t>
      </w:r>
      <w:r>
        <w:rPr>
          <w:sz w:val="28"/>
          <w:szCs w:val="28"/>
        </w:rPr>
        <w:fldChar w:fldCharType="end"/>
      </w:r>
      <w:r>
        <w:rPr>
          <w:sz w:val="28"/>
          <w:szCs w:val="28"/>
        </w:rPr>
        <w:fldChar w:fldCharType="end"/>
      </w:r>
    </w:p>
    <w:p>
      <w:pPr>
        <w:pStyle w:val="15"/>
        <w:tabs>
          <w:tab w:val="right" w:leader="dot" w:pos="8891"/>
        </w:tabs>
        <w:snapToGrid w:val="0"/>
        <w:spacing w:line="300" w:lineRule="auto"/>
        <w:rPr>
          <w:rFonts w:asciiTheme="minorHAnsi" w:hAnsiTheme="minorHAnsi" w:cstheme="minorBidi"/>
          <w:kern w:val="2"/>
          <w:sz w:val="28"/>
          <w:szCs w:val="28"/>
        </w:rPr>
      </w:pPr>
      <w:r>
        <w:fldChar w:fldCharType="begin"/>
      </w:r>
      <w:r>
        <w:instrText xml:space="preserve"> HYPERLINK \l "_Toc88430428" </w:instrText>
      </w:r>
      <w:r>
        <w:fldChar w:fldCharType="separate"/>
      </w:r>
      <w:r>
        <w:rPr>
          <w:rStyle w:val="27"/>
          <w:rFonts w:eastAsia="黑体"/>
          <w:sz w:val="28"/>
          <w:szCs w:val="28"/>
          <w:lang w:bidi="zh-TW"/>
        </w:rPr>
        <w:t>五、保障措施</w:t>
      </w:r>
      <w:r>
        <w:rPr>
          <w:sz w:val="28"/>
          <w:szCs w:val="28"/>
        </w:rPr>
        <w:tab/>
      </w:r>
      <w:r>
        <w:rPr>
          <w:sz w:val="28"/>
          <w:szCs w:val="28"/>
        </w:rPr>
        <w:fldChar w:fldCharType="begin"/>
      </w:r>
      <w:r>
        <w:rPr>
          <w:sz w:val="28"/>
          <w:szCs w:val="28"/>
        </w:rPr>
        <w:instrText xml:space="preserve"> PAGEREF _Toc88430428 \h </w:instrText>
      </w:r>
      <w:r>
        <w:rPr>
          <w:sz w:val="28"/>
          <w:szCs w:val="28"/>
        </w:rPr>
        <w:fldChar w:fldCharType="separate"/>
      </w:r>
      <w:r>
        <w:rPr>
          <w:sz w:val="28"/>
          <w:szCs w:val="28"/>
        </w:rPr>
        <w:t>26</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"_Toc88430429" </w:instrText>
      </w:r>
      <w:r>
        <w:fldChar w:fldCharType="separate"/>
      </w:r>
      <w:r>
        <w:rPr>
          <w:rStyle w:val="27"/>
          <w:rFonts w:eastAsia="楷体"/>
          <w:sz w:val="28"/>
          <w:szCs w:val="28"/>
          <w:lang w:bidi="en-US"/>
        </w:rPr>
        <w:t>（一）加强组织领导</w:t>
      </w:r>
      <w:r>
        <w:rPr>
          <w:sz w:val="28"/>
          <w:szCs w:val="28"/>
        </w:rPr>
        <w:tab/>
      </w:r>
      <w:r>
        <w:rPr>
          <w:sz w:val="28"/>
          <w:szCs w:val="28"/>
        </w:rPr>
        <w:fldChar w:fldCharType="begin"/>
      </w:r>
      <w:r>
        <w:rPr>
          <w:sz w:val="28"/>
          <w:szCs w:val="28"/>
        </w:rPr>
        <w:instrText xml:space="preserve"> PAGEREF _Toc88430429 \h </w:instrText>
      </w:r>
      <w:r>
        <w:rPr>
          <w:sz w:val="28"/>
          <w:szCs w:val="28"/>
        </w:rPr>
        <w:fldChar w:fldCharType="separate"/>
      </w:r>
      <w:r>
        <w:rPr>
          <w:sz w:val="28"/>
          <w:szCs w:val="28"/>
        </w:rPr>
        <w:t>26</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"_Toc88430430" </w:instrText>
      </w:r>
      <w:r>
        <w:fldChar w:fldCharType="separate"/>
      </w:r>
      <w:r>
        <w:rPr>
          <w:rStyle w:val="27"/>
          <w:rFonts w:eastAsia="楷体"/>
          <w:sz w:val="28"/>
          <w:szCs w:val="28"/>
          <w:lang w:bidi="en-US"/>
        </w:rPr>
        <w:t>（二）加强支撑保障</w:t>
      </w:r>
      <w:r>
        <w:rPr>
          <w:sz w:val="28"/>
          <w:szCs w:val="28"/>
        </w:rPr>
        <w:tab/>
      </w:r>
      <w:r>
        <w:rPr>
          <w:sz w:val="28"/>
          <w:szCs w:val="28"/>
        </w:rPr>
        <w:fldChar w:fldCharType="begin"/>
      </w:r>
      <w:r>
        <w:rPr>
          <w:sz w:val="28"/>
          <w:szCs w:val="28"/>
        </w:rPr>
        <w:instrText xml:space="preserve"> PAGEREF _Toc88430430 \h </w:instrText>
      </w:r>
      <w:r>
        <w:rPr>
          <w:sz w:val="28"/>
          <w:szCs w:val="28"/>
        </w:rPr>
        <w:fldChar w:fldCharType="separate"/>
      </w:r>
      <w:r>
        <w:rPr>
          <w:sz w:val="28"/>
          <w:szCs w:val="28"/>
        </w:rPr>
        <w:t>26</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"_Toc88430431" </w:instrText>
      </w:r>
      <w:r>
        <w:fldChar w:fldCharType="separate"/>
      </w:r>
      <w:r>
        <w:rPr>
          <w:rStyle w:val="27"/>
          <w:rFonts w:eastAsia="楷体"/>
          <w:sz w:val="28"/>
          <w:szCs w:val="28"/>
          <w:lang w:bidi="en-US"/>
        </w:rPr>
        <w:t>（三）加强协调衔接</w:t>
      </w:r>
      <w:r>
        <w:rPr>
          <w:sz w:val="28"/>
          <w:szCs w:val="28"/>
        </w:rPr>
        <w:tab/>
      </w:r>
      <w:r>
        <w:rPr>
          <w:sz w:val="28"/>
          <w:szCs w:val="28"/>
        </w:rPr>
        <w:fldChar w:fldCharType="begin"/>
      </w:r>
      <w:r>
        <w:rPr>
          <w:sz w:val="28"/>
          <w:szCs w:val="28"/>
        </w:rPr>
        <w:instrText xml:space="preserve"> PAGEREF _Toc88430431 \h </w:instrText>
      </w:r>
      <w:r>
        <w:rPr>
          <w:sz w:val="28"/>
          <w:szCs w:val="28"/>
        </w:rPr>
        <w:fldChar w:fldCharType="separate"/>
      </w:r>
      <w:r>
        <w:rPr>
          <w:sz w:val="28"/>
          <w:szCs w:val="28"/>
        </w:rPr>
        <w:t>26</w:t>
      </w:r>
      <w:r>
        <w:rPr>
          <w:sz w:val="28"/>
          <w:szCs w:val="28"/>
        </w:rPr>
        <w:fldChar w:fldCharType="end"/>
      </w:r>
      <w:r>
        <w:rPr>
          <w:sz w:val="28"/>
          <w:szCs w:val="28"/>
        </w:rPr>
        <w:fldChar w:fldCharType="end"/>
      </w:r>
    </w:p>
    <w:p>
      <w:pPr>
        <w:pStyle w:val="19"/>
        <w:tabs>
          <w:tab w:val="right" w:leader="dot" w:pos="8891"/>
        </w:tabs>
        <w:snapToGrid w:val="0"/>
        <w:spacing w:line="300" w:lineRule="auto"/>
        <w:ind w:left="480"/>
        <w:rPr>
          <w:rFonts w:asciiTheme="minorHAnsi" w:hAnsiTheme="minorHAnsi" w:cstheme="minorBidi"/>
          <w:kern w:val="2"/>
          <w:sz w:val="28"/>
          <w:szCs w:val="28"/>
        </w:rPr>
      </w:pPr>
      <w:r>
        <w:fldChar w:fldCharType="begin"/>
      </w:r>
      <w:r>
        <w:instrText xml:space="preserve"> HYPERLINK \l "_Toc88430432" </w:instrText>
      </w:r>
      <w:r>
        <w:fldChar w:fldCharType="separate"/>
      </w:r>
      <w:r>
        <w:rPr>
          <w:rStyle w:val="27"/>
          <w:rFonts w:eastAsia="楷体"/>
          <w:sz w:val="28"/>
          <w:szCs w:val="28"/>
          <w:lang w:bidi="en-US"/>
        </w:rPr>
        <w:t>（四）加强监督考核</w:t>
      </w:r>
      <w:r>
        <w:rPr>
          <w:sz w:val="28"/>
          <w:szCs w:val="28"/>
        </w:rPr>
        <w:tab/>
      </w:r>
      <w:r>
        <w:rPr>
          <w:sz w:val="28"/>
          <w:szCs w:val="28"/>
        </w:rPr>
        <w:fldChar w:fldCharType="begin"/>
      </w:r>
      <w:r>
        <w:rPr>
          <w:sz w:val="28"/>
          <w:szCs w:val="28"/>
        </w:rPr>
        <w:instrText xml:space="preserve"> PAGEREF _Toc88430432 \h </w:instrText>
      </w:r>
      <w:r>
        <w:rPr>
          <w:sz w:val="28"/>
          <w:szCs w:val="28"/>
        </w:rPr>
        <w:fldChar w:fldCharType="separate"/>
      </w:r>
      <w:r>
        <w:rPr>
          <w:sz w:val="28"/>
          <w:szCs w:val="28"/>
        </w:rPr>
        <w:t>27</w:t>
      </w:r>
      <w:r>
        <w:rPr>
          <w:sz w:val="28"/>
          <w:szCs w:val="28"/>
        </w:rPr>
        <w:fldChar w:fldCharType="end"/>
      </w:r>
      <w:r>
        <w:rPr>
          <w:sz w:val="28"/>
          <w:szCs w:val="28"/>
        </w:rPr>
        <w:fldChar w:fldCharType="end"/>
      </w:r>
    </w:p>
    <w:p>
      <w:pPr>
        <w:snapToGrid w:val="0"/>
        <w:spacing w:line="300" w:lineRule="auto"/>
        <w:rPr>
          <w:sz w:val="28"/>
          <w:szCs w:val="28"/>
        </w:rPr>
        <w:sectPr>
          <w:pgSz w:w="11906" w:h="16838"/>
          <w:pgMar w:top="1440" w:right="1474" w:bottom="1418" w:left="1531" w:header="851" w:footer="992" w:gutter="0"/>
          <w:pgNumType w:fmt="upperRoman" w:start="1"/>
          <w:cols w:space="425" w:num="1"/>
          <w:titlePg/>
          <w:docGrid w:type="lines" w:linePitch="312" w:charSpace="0"/>
        </w:sectPr>
      </w:pPr>
      <w:r>
        <w:rPr>
          <w:sz w:val="28"/>
          <w:szCs w:val="28"/>
        </w:rPr>
        <w:fldChar w:fldCharType="end"/>
      </w:r>
      <w:r>
        <w:rPr>
          <w:rFonts w:eastAsia="黑体"/>
          <w:sz w:val="28"/>
          <w:szCs w:val="28"/>
        </w:rPr>
        <w:fldChar w:fldCharType="begin"/>
      </w:r>
      <w:r>
        <w:rPr>
          <w:rFonts w:eastAsia="黑体"/>
          <w:sz w:val="28"/>
          <w:szCs w:val="28"/>
        </w:rPr>
        <w:instrText xml:space="preserve">TOC \o "1-2" \h \u </w:instrText>
      </w:r>
      <w:r>
        <w:rPr>
          <w:rFonts w:eastAsia="黑体"/>
          <w:sz w:val="28"/>
          <w:szCs w:val="28"/>
        </w:rPr>
        <w:fldChar w:fldCharType="separate"/>
      </w:r>
    </w:p>
    <w:p>
      <w:pPr>
        <w:snapToGrid w:val="0"/>
        <w:spacing w:line="300" w:lineRule="auto"/>
        <w:rPr>
          <w:rFonts w:hint="eastAsia" w:eastAsia="黑体"/>
          <w:b/>
          <w:bCs/>
          <w:sz w:val="44"/>
          <w:szCs w:val="44"/>
        </w:rPr>
      </w:pPr>
    </w:p>
    <w:p>
      <w:pPr>
        <w:snapToGrid w:val="0"/>
        <w:spacing w:line="300" w:lineRule="auto"/>
        <w:jc w:val="center"/>
        <w:rPr>
          <w:rFonts w:eastAsia="黑体"/>
          <w:b/>
          <w:bCs/>
          <w:sz w:val="44"/>
          <w:szCs w:val="44"/>
        </w:rPr>
      </w:pPr>
      <w:r>
        <w:rPr>
          <w:rFonts w:hint="eastAsia" w:eastAsia="黑体"/>
          <w:b/>
          <w:bCs/>
          <w:sz w:val="44"/>
          <w:szCs w:val="44"/>
        </w:rPr>
        <w:t>遂昌县</w:t>
      </w:r>
      <w:r>
        <w:rPr>
          <w:rFonts w:eastAsia="黑体"/>
          <w:b/>
          <w:bCs/>
          <w:sz w:val="44"/>
          <w:szCs w:val="44"/>
        </w:rPr>
        <w:t>应急管理</w:t>
      </w:r>
      <w:r>
        <w:rPr>
          <w:rFonts w:hint="eastAsia" w:eastAsia="黑体"/>
          <w:b/>
          <w:bCs/>
          <w:sz w:val="44"/>
          <w:szCs w:val="44"/>
        </w:rPr>
        <w:t>“</w:t>
      </w:r>
      <w:r>
        <w:rPr>
          <w:rFonts w:eastAsia="黑体"/>
          <w:b/>
          <w:bCs/>
          <w:sz w:val="44"/>
          <w:szCs w:val="44"/>
        </w:rPr>
        <w:t>十四五</w:t>
      </w:r>
      <w:r>
        <w:rPr>
          <w:rFonts w:hint="eastAsia" w:eastAsia="黑体"/>
          <w:b/>
          <w:bCs/>
          <w:sz w:val="44"/>
          <w:szCs w:val="44"/>
        </w:rPr>
        <w:t>”</w:t>
      </w:r>
      <w:r>
        <w:rPr>
          <w:rFonts w:eastAsia="黑体"/>
          <w:b/>
          <w:bCs/>
          <w:sz w:val="44"/>
          <w:szCs w:val="44"/>
        </w:rPr>
        <w:t>规划</w:t>
      </w:r>
      <w:bookmarkStart w:id="229" w:name="_GoBack"/>
      <w:bookmarkEnd w:id="229"/>
    </w:p>
    <w:p>
      <w:pPr>
        <w:snapToGrid w:val="0"/>
        <w:spacing w:line="300" w:lineRule="auto"/>
        <w:jc w:val="center"/>
        <w:rPr>
          <w:rFonts w:eastAsia="黑体"/>
          <w:b/>
          <w:bCs/>
          <w:sz w:val="44"/>
          <w:szCs w:val="44"/>
        </w:rPr>
      </w:pPr>
    </w:p>
    <w:p>
      <w:pPr>
        <w:snapToGrid w:val="0"/>
        <w:spacing w:line="300" w:lineRule="auto"/>
        <w:ind w:firstLine="640" w:firstLineChars="200"/>
        <w:rPr>
          <w:rFonts w:eastAsia="仿宋_GB2312"/>
          <w:sz w:val="32"/>
          <w:szCs w:val="32"/>
        </w:rPr>
      </w:pPr>
      <w:r>
        <w:rPr>
          <w:rFonts w:hint="eastAsia" w:eastAsia="仿宋_GB2312"/>
          <w:sz w:val="32"/>
          <w:szCs w:val="32"/>
        </w:rPr>
        <w:t>“</w:t>
      </w:r>
      <w:r>
        <w:rPr>
          <w:rFonts w:eastAsia="仿宋_GB2312"/>
          <w:sz w:val="32"/>
          <w:szCs w:val="32"/>
        </w:rPr>
        <w:t>十四五</w:t>
      </w:r>
      <w:r>
        <w:rPr>
          <w:rFonts w:hint="eastAsia" w:eastAsia="仿宋_GB2312"/>
          <w:sz w:val="32"/>
          <w:szCs w:val="32"/>
        </w:rPr>
        <w:t>”</w:t>
      </w:r>
      <w:r>
        <w:rPr>
          <w:rFonts w:eastAsia="仿宋_GB2312"/>
          <w:sz w:val="32"/>
          <w:szCs w:val="32"/>
        </w:rPr>
        <w:t>时期（2021-2025年），是我</w:t>
      </w:r>
      <w:r>
        <w:rPr>
          <w:rFonts w:hint="eastAsia" w:eastAsia="仿宋_GB2312"/>
          <w:sz w:val="32"/>
          <w:szCs w:val="32"/>
        </w:rPr>
        <w:t>县</w:t>
      </w:r>
      <w:r>
        <w:rPr>
          <w:rFonts w:eastAsia="仿宋_GB2312"/>
          <w:sz w:val="32"/>
          <w:szCs w:val="32"/>
        </w:rPr>
        <w:t>高水平全面建成小康社会之后，乘势而上开启全面建设社会主义现代化新征程的第一个五年，也是我</w:t>
      </w:r>
      <w:r>
        <w:rPr>
          <w:rFonts w:hint="eastAsia" w:eastAsia="仿宋_GB2312"/>
          <w:sz w:val="32"/>
          <w:szCs w:val="32"/>
        </w:rPr>
        <w:t>县</w:t>
      </w:r>
      <w:r>
        <w:rPr>
          <w:rFonts w:eastAsia="仿宋_GB2312"/>
          <w:sz w:val="32"/>
          <w:szCs w:val="32"/>
        </w:rPr>
        <w:t>应急管理机构改革后持续完善</w:t>
      </w:r>
      <w:r>
        <w:rPr>
          <w:rFonts w:hint="eastAsia" w:eastAsia="仿宋_GB2312"/>
          <w:sz w:val="32"/>
          <w:szCs w:val="32"/>
        </w:rPr>
        <w:t>“</w:t>
      </w:r>
      <w:r>
        <w:rPr>
          <w:rFonts w:eastAsia="仿宋_GB2312"/>
          <w:sz w:val="32"/>
          <w:szCs w:val="32"/>
        </w:rPr>
        <w:t>大安全、大应急、大减灾</w:t>
      </w:r>
      <w:r>
        <w:rPr>
          <w:rFonts w:hint="eastAsia" w:eastAsia="仿宋_GB2312"/>
          <w:sz w:val="32"/>
          <w:szCs w:val="32"/>
        </w:rPr>
        <w:t>”</w:t>
      </w:r>
      <w:r>
        <w:rPr>
          <w:rFonts w:eastAsia="仿宋_GB2312"/>
          <w:sz w:val="32"/>
          <w:szCs w:val="32"/>
        </w:rPr>
        <w:t>应急管理体系的关键五年。为全面贯彻落实党中央、国务院关于应急管理工作的一系列重大决策部署，推进应急管理体系和能力现代化，有效防范化解重大安全风险、及时应对处置各类灾害事故，切实保障人民群众生命财产安全和维护社会稳定，根据《中华人民共和国突发事件应对法》</w:t>
      </w:r>
      <w:r>
        <w:rPr>
          <w:rFonts w:hint="eastAsia" w:eastAsia="仿宋_GB2312"/>
          <w:sz w:val="32"/>
          <w:szCs w:val="32"/>
        </w:rPr>
        <w:t>《浙江省应急管理“十四五”规划》</w:t>
      </w:r>
      <w:r>
        <w:rPr>
          <w:rFonts w:eastAsia="仿宋_GB2312"/>
          <w:sz w:val="32"/>
          <w:szCs w:val="32"/>
        </w:rPr>
        <w:t>《</w:t>
      </w:r>
      <w:r>
        <w:rPr>
          <w:rFonts w:hint="eastAsia" w:eastAsia="仿宋_GB2312"/>
          <w:sz w:val="32"/>
          <w:szCs w:val="32"/>
        </w:rPr>
        <w:t>丽水市</w:t>
      </w:r>
      <w:r>
        <w:rPr>
          <w:rFonts w:eastAsia="仿宋_GB2312"/>
          <w:sz w:val="32"/>
          <w:szCs w:val="32"/>
        </w:rPr>
        <w:t>应急管理</w:t>
      </w:r>
      <w:r>
        <w:rPr>
          <w:rFonts w:hint="eastAsia" w:eastAsia="仿宋_GB2312"/>
          <w:sz w:val="32"/>
          <w:szCs w:val="32"/>
        </w:rPr>
        <w:t>“</w:t>
      </w:r>
      <w:r>
        <w:rPr>
          <w:rFonts w:eastAsia="仿宋_GB2312"/>
          <w:sz w:val="32"/>
          <w:szCs w:val="32"/>
        </w:rPr>
        <w:t>十四五</w:t>
      </w:r>
      <w:r>
        <w:rPr>
          <w:rFonts w:hint="eastAsia" w:eastAsia="仿宋_GB2312"/>
          <w:sz w:val="32"/>
          <w:szCs w:val="32"/>
        </w:rPr>
        <w:t>”</w:t>
      </w:r>
      <w:r>
        <w:rPr>
          <w:rFonts w:eastAsia="仿宋_GB2312"/>
          <w:sz w:val="32"/>
          <w:szCs w:val="32"/>
        </w:rPr>
        <w:t>规划》《</w:t>
      </w:r>
      <w:r>
        <w:rPr>
          <w:rFonts w:hint="eastAsia" w:eastAsia="仿宋_GB2312"/>
          <w:sz w:val="32"/>
          <w:szCs w:val="32"/>
        </w:rPr>
        <w:t>遂昌县国民经济和社会发展第十四个五年规划和二〇三五年远景目标纲要</w:t>
      </w:r>
      <w:r>
        <w:rPr>
          <w:rFonts w:eastAsia="仿宋_GB2312"/>
          <w:sz w:val="32"/>
          <w:szCs w:val="32"/>
        </w:rPr>
        <w:t>》等法律法规和文件，制定本规划。</w:t>
      </w:r>
    </w:p>
    <w:p>
      <w:pPr>
        <w:pStyle w:val="2"/>
        <w:snapToGrid w:val="0"/>
        <w:spacing w:before="120" w:after="120" w:line="300" w:lineRule="auto"/>
        <w:ind w:firstLine="643" w:firstLineChars="200"/>
        <w:jc w:val="left"/>
        <w:rPr>
          <w:rFonts w:eastAsia="黑体"/>
          <w:lang w:bidi="zh-TW"/>
        </w:rPr>
      </w:pPr>
      <w:bookmarkStart w:id="0" w:name="_Toc88430405"/>
      <w:bookmarkStart w:id="1" w:name="_Toc7902"/>
      <w:r>
        <w:rPr>
          <w:rFonts w:eastAsia="黑体"/>
          <w:lang w:bidi="zh-TW"/>
        </w:rPr>
        <w:t>一、改革与发展基础</w:t>
      </w:r>
      <w:bookmarkEnd w:id="0"/>
      <w:bookmarkEnd w:id="1"/>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2" w:name="_Toc40090151"/>
      <w:bookmarkStart w:id="3" w:name="_Toc21432"/>
      <w:bookmarkStart w:id="4" w:name="_Toc88430406"/>
      <w:bookmarkStart w:id="5" w:name="_Toc1542"/>
      <w:bookmarkStart w:id="6" w:name="_Toc8017"/>
      <w:r>
        <w:rPr>
          <w:rFonts w:ascii="Times New Roman" w:hAnsi="Times New Roman" w:eastAsia="楷体" w:cs="Times New Roman"/>
          <w:bCs w:val="0"/>
          <w:lang w:eastAsia="zh-CN"/>
        </w:rPr>
        <w:t>（一）</w:t>
      </w:r>
      <w:r>
        <w:rPr>
          <w:rFonts w:hint="eastAsia" w:ascii="Times New Roman" w:hAnsi="Times New Roman" w:eastAsia="楷体" w:cs="Times New Roman"/>
          <w:bCs w:val="0"/>
          <w:lang w:eastAsia="zh-CN"/>
        </w:rPr>
        <w:t>“</w:t>
      </w:r>
      <w:r>
        <w:rPr>
          <w:rFonts w:ascii="Times New Roman" w:hAnsi="Times New Roman" w:eastAsia="楷体" w:cs="Times New Roman"/>
          <w:bCs w:val="0"/>
          <w:lang w:eastAsia="zh-CN"/>
        </w:rPr>
        <w:t>十三五</w:t>
      </w:r>
      <w:r>
        <w:rPr>
          <w:rFonts w:hint="eastAsia" w:ascii="Times New Roman" w:hAnsi="Times New Roman" w:eastAsia="楷体" w:cs="Times New Roman"/>
          <w:bCs w:val="0"/>
          <w:lang w:eastAsia="zh-CN"/>
        </w:rPr>
        <w:t>”</w:t>
      </w:r>
      <w:r>
        <w:rPr>
          <w:rFonts w:ascii="Times New Roman" w:hAnsi="Times New Roman" w:eastAsia="楷体" w:cs="Times New Roman"/>
          <w:bCs w:val="0"/>
          <w:lang w:eastAsia="zh-CN"/>
        </w:rPr>
        <w:t>期间工作</w:t>
      </w:r>
      <w:bookmarkEnd w:id="2"/>
      <w:r>
        <w:rPr>
          <w:rFonts w:ascii="Times New Roman" w:hAnsi="Times New Roman" w:eastAsia="楷体" w:cs="Times New Roman"/>
          <w:bCs w:val="0"/>
          <w:lang w:eastAsia="zh-CN"/>
        </w:rPr>
        <w:t>评估</w:t>
      </w:r>
      <w:bookmarkEnd w:id="3"/>
      <w:bookmarkEnd w:id="4"/>
      <w:bookmarkEnd w:id="5"/>
      <w:bookmarkEnd w:id="6"/>
    </w:p>
    <w:p>
      <w:pPr>
        <w:snapToGrid w:val="0"/>
        <w:spacing w:line="300" w:lineRule="auto"/>
        <w:ind w:firstLine="640" w:firstLineChars="200"/>
        <w:rPr>
          <w:rFonts w:eastAsia="仿宋_GB2312"/>
          <w:color w:val="auto"/>
          <w:sz w:val="32"/>
          <w:szCs w:val="32"/>
        </w:rPr>
      </w:pPr>
      <w:r>
        <w:rPr>
          <w:rFonts w:hint="eastAsia" w:eastAsia="仿宋_GB2312"/>
          <w:color w:val="auto"/>
          <w:sz w:val="32"/>
          <w:szCs w:val="32"/>
        </w:rPr>
        <w:t>“</w:t>
      </w:r>
      <w:r>
        <w:rPr>
          <w:rFonts w:eastAsia="仿宋_GB2312"/>
          <w:color w:val="auto"/>
          <w:sz w:val="32"/>
          <w:szCs w:val="32"/>
        </w:rPr>
        <w:t>十三五</w:t>
      </w:r>
      <w:r>
        <w:rPr>
          <w:rFonts w:hint="eastAsia" w:eastAsia="仿宋_GB2312"/>
          <w:color w:val="auto"/>
          <w:sz w:val="32"/>
          <w:szCs w:val="32"/>
        </w:rPr>
        <w:t>”</w:t>
      </w:r>
      <w:r>
        <w:rPr>
          <w:rFonts w:eastAsia="仿宋_GB2312"/>
          <w:color w:val="auto"/>
          <w:sz w:val="32"/>
          <w:szCs w:val="32"/>
        </w:rPr>
        <w:t>以来，全县上下高举习近平新时代中国特色社会主义思想伟大旗帜，始终牢记总书记</w:t>
      </w:r>
      <w:r>
        <w:rPr>
          <w:rFonts w:hint="eastAsia" w:eastAsia="仿宋_GB2312"/>
          <w:color w:val="auto"/>
          <w:sz w:val="32"/>
          <w:szCs w:val="32"/>
        </w:rPr>
        <w:t>“</w:t>
      </w:r>
      <w:r>
        <w:rPr>
          <w:rFonts w:eastAsia="仿宋_GB2312"/>
          <w:color w:val="auto"/>
          <w:sz w:val="32"/>
          <w:szCs w:val="32"/>
        </w:rPr>
        <w:t>尤为如此</w:t>
      </w:r>
      <w:r>
        <w:rPr>
          <w:rFonts w:hint="eastAsia" w:eastAsia="仿宋_GB2312"/>
          <w:color w:val="auto"/>
          <w:sz w:val="32"/>
          <w:szCs w:val="32"/>
        </w:rPr>
        <w:t>”</w:t>
      </w:r>
      <w:r>
        <w:rPr>
          <w:rFonts w:eastAsia="仿宋_GB2312"/>
          <w:color w:val="auto"/>
          <w:sz w:val="32"/>
          <w:szCs w:val="32"/>
        </w:rPr>
        <w:t>殷切嘱托，模范践行</w:t>
      </w:r>
      <w:r>
        <w:rPr>
          <w:rFonts w:hint="eastAsia" w:eastAsia="仿宋_GB2312"/>
          <w:color w:val="auto"/>
          <w:sz w:val="32"/>
          <w:szCs w:val="32"/>
        </w:rPr>
        <w:t>“</w:t>
      </w:r>
      <w:r>
        <w:rPr>
          <w:rFonts w:eastAsia="仿宋_GB2312"/>
          <w:color w:val="auto"/>
          <w:sz w:val="32"/>
          <w:szCs w:val="32"/>
        </w:rPr>
        <w:t>绿水青山就是金山银山</w:t>
      </w:r>
      <w:r>
        <w:rPr>
          <w:rFonts w:hint="eastAsia" w:eastAsia="仿宋_GB2312"/>
          <w:color w:val="auto"/>
          <w:sz w:val="32"/>
          <w:szCs w:val="32"/>
        </w:rPr>
        <w:t>”</w:t>
      </w:r>
      <w:r>
        <w:rPr>
          <w:rFonts w:eastAsia="仿宋_GB2312"/>
          <w:color w:val="auto"/>
          <w:sz w:val="32"/>
          <w:szCs w:val="32"/>
        </w:rPr>
        <w:t>理念，挥洒</w:t>
      </w:r>
      <w:r>
        <w:rPr>
          <w:rFonts w:hint="eastAsia" w:eastAsia="仿宋_GB2312"/>
          <w:color w:val="auto"/>
          <w:sz w:val="32"/>
          <w:szCs w:val="32"/>
        </w:rPr>
        <w:t>“</w:t>
      </w:r>
      <w:r>
        <w:rPr>
          <w:rFonts w:eastAsia="仿宋_GB2312"/>
          <w:color w:val="auto"/>
          <w:sz w:val="32"/>
          <w:szCs w:val="32"/>
        </w:rPr>
        <w:t>遂昌之汗</w:t>
      </w:r>
      <w:r>
        <w:rPr>
          <w:rFonts w:hint="eastAsia" w:eastAsia="仿宋_GB2312"/>
          <w:color w:val="auto"/>
          <w:sz w:val="32"/>
          <w:szCs w:val="32"/>
        </w:rPr>
        <w:t>”</w:t>
      </w:r>
      <w:r>
        <w:rPr>
          <w:rFonts w:eastAsia="仿宋_GB2312"/>
          <w:color w:val="auto"/>
          <w:sz w:val="32"/>
          <w:szCs w:val="32"/>
        </w:rPr>
        <w:t>、 厉行</w:t>
      </w:r>
      <w:r>
        <w:rPr>
          <w:rFonts w:hint="eastAsia" w:eastAsia="仿宋_GB2312"/>
          <w:color w:val="auto"/>
          <w:sz w:val="32"/>
          <w:szCs w:val="32"/>
        </w:rPr>
        <w:t>“</w:t>
      </w:r>
      <w:r>
        <w:rPr>
          <w:rFonts w:eastAsia="仿宋_GB2312"/>
          <w:color w:val="auto"/>
          <w:sz w:val="32"/>
          <w:szCs w:val="32"/>
        </w:rPr>
        <w:t>丽水之干</w:t>
      </w:r>
      <w:r>
        <w:rPr>
          <w:rFonts w:hint="eastAsia" w:eastAsia="仿宋_GB2312"/>
          <w:color w:val="auto"/>
          <w:sz w:val="32"/>
          <w:szCs w:val="32"/>
        </w:rPr>
        <w:t>”</w:t>
      </w:r>
      <w:r>
        <w:rPr>
          <w:rFonts w:eastAsia="仿宋_GB2312"/>
          <w:color w:val="auto"/>
          <w:sz w:val="32"/>
          <w:szCs w:val="32"/>
        </w:rPr>
        <w:t>、担纲</w:t>
      </w:r>
      <w:r>
        <w:rPr>
          <w:rFonts w:hint="eastAsia" w:eastAsia="仿宋_GB2312"/>
          <w:color w:val="auto"/>
          <w:sz w:val="32"/>
          <w:szCs w:val="32"/>
        </w:rPr>
        <w:t>“</w:t>
      </w:r>
      <w:r>
        <w:rPr>
          <w:rFonts w:eastAsia="仿宋_GB2312"/>
          <w:color w:val="auto"/>
          <w:sz w:val="32"/>
          <w:szCs w:val="32"/>
        </w:rPr>
        <w:t>丽水之赞</w:t>
      </w:r>
      <w:r>
        <w:rPr>
          <w:rFonts w:hint="eastAsia" w:eastAsia="仿宋_GB2312"/>
          <w:color w:val="auto"/>
          <w:sz w:val="32"/>
          <w:szCs w:val="32"/>
        </w:rPr>
        <w:t>”</w:t>
      </w:r>
      <w:r>
        <w:rPr>
          <w:rFonts w:eastAsia="仿宋_GB2312"/>
          <w:color w:val="auto"/>
          <w:sz w:val="32"/>
          <w:szCs w:val="32"/>
        </w:rPr>
        <w:t>，全县</w:t>
      </w:r>
      <w:r>
        <w:rPr>
          <w:rFonts w:hint="eastAsia" w:eastAsia="仿宋_GB2312"/>
          <w:color w:val="auto"/>
          <w:sz w:val="32"/>
          <w:szCs w:val="32"/>
        </w:rPr>
        <w:t>应急管理工作</w:t>
      </w:r>
      <w:r>
        <w:rPr>
          <w:rFonts w:eastAsia="仿宋_GB2312"/>
          <w:color w:val="auto"/>
          <w:sz w:val="32"/>
          <w:szCs w:val="32"/>
        </w:rPr>
        <w:t>取得良好成效</w:t>
      </w:r>
      <w:r>
        <w:rPr>
          <w:rFonts w:hint="eastAsia" w:eastAsia="仿宋_GB2312"/>
          <w:color w:val="auto"/>
          <w:sz w:val="32"/>
          <w:szCs w:val="32"/>
        </w:rPr>
        <w:t>。</w:t>
      </w:r>
    </w:p>
    <w:p>
      <w:pPr>
        <w:adjustRightInd w:val="0"/>
        <w:snapToGrid w:val="0"/>
        <w:spacing w:line="300" w:lineRule="auto"/>
        <w:ind w:firstLine="643" w:firstLineChars="200"/>
        <w:rPr>
          <w:rFonts w:ascii="仿宋_GB2312" w:hAnsi="仿宋" w:eastAsia="仿宋_GB2312"/>
          <w:sz w:val="32"/>
          <w:szCs w:val="32"/>
        </w:rPr>
      </w:pPr>
      <w:r>
        <w:rPr>
          <w:rFonts w:hint="eastAsia" w:ascii="仿宋_GB2312" w:hAnsi="仿宋" w:eastAsia="仿宋_GB2312"/>
          <w:b/>
          <w:bCs/>
          <w:sz w:val="32"/>
          <w:szCs w:val="32"/>
        </w:rPr>
        <w:t>1.应急管理机制体制初步构建。</w:t>
      </w:r>
      <w:r>
        <w:rPr>
          <w:rFonts w:hint="eastAsia" w:ascii="仿宋_GB2312" w:hAnsi="仿宋" w:eastAsia="仿宋_GB2312"/>
          <w:sz w:val="32"/>
          <w:szCs w:val="32"/>
        </w:rPr>
        <w:t>进一步明确和</w:t>
      </w:r>
      <w:r>
        <w:rPr>
          <w:rFonts w:hint="eastAsia" w:ascii="仿宋_GB2312" w:eastAsia="仿宋_GB2312"/>
          <w:sz w:val="32"/>
          <w:szCs w:val="32"/>
        </w:rPr>
        <w:t>完善遂昌县安委会成员单位工作职责</w:t>
      </w:r>
      <w:r>
        <w:rPr>
          <w:rFonts w:hint="eastAsia" w:ascii="仿宋_GB2312" w:hAnsi="仿宋" w:eastAsia="仿宋_GB2312"/>
          <w:sz w:val="32"/>
          <w:szCs w:val="32"/>
        </w:rPr>
        <w:t>，严格落实《丽水市党政领导干部安全生产责任清单》等制度，强化了“党政同责、一岗双责”机制，建立起“1+X”安全生产责任体系。在县政府统一部署下，逐步推进责任压实、安全治理、灾害防治、应急救援、减灾救灾、监管执法、基层基础、数字应急等事项，完成人员转隶、职能划转等应急管理机构改革工作，应急管理协同联动统筹机制初步构建。</w:t>
      </w:r>
    </w:p>
    <w:p>
      <w:pPr>
        <w:snapToGrid w:val="0"/>
        <w:spacing w:line="300" w:lineRule="auto"/>
        <w:ind w:firstLine="643" w:firstLineChars="200"/>
        <w:rPr>
          <w:rFonts w:ascii="仿宋_GB2312" w:hAnsi="仿宋" w:eastAsia="仿宋_GB2312"/>
          <w:sz w:val="32"/>
          <w:szCs w:val="32"/>
        </w:rPr>
      </w:pPr>
      <w:r>
        <w:rPr>
          <w:rFonts w:ascii="仿宋_GB2312" w:hAnsi="仿宋" w:eastAsia="仿宋_GB2312"/>
          <w:b/>
          <w:bCs/>
          <w:sz w:val="32"/>
          <w:szCs w:val="32"/>
        </w:rPr>
        <w:t>2</w:t>
      </w:r>
      <w:r>
        <w:rPr>
          <w:rFonts w:hint="eastAsia" w:ascii="仿宋_GB2312" w:hAnsi="仿宋" w:eastAsia="仿宋_GB2312"/>
          <w:b/>
          <w:bCs/>
          <w:sz w:val="32"/>
          <w:szCs w:val="32"/>
        </w:rPr>
        <w:t>.安全生产治理成效显著。</w:t>
      </w:r>
      <w:r>
        <w:rPr>
          <w:rFonts w:hint="eastAsia" w:ascii="仿宋_GB2312" w:hAnsi="仿宋" w:eastAsia="仿宋_GB2312"/>
          <w:sz w:val="32"/>
          <w:szCs w:val="32"/>
        </w:rPr>
        <w:t>持续聚焦重点行业领域治理，深入推动安全生产领域改革，</w:t>
      </w:r>
      <w:r>
        <w:rPr>
          <w:rFonts w:ascii="仿宋_GB2312" w:hAnsi="仿宋" w:eastAsia="仿宋_GB2312"/>
          <w:sz w:val="32"/>
          <w:szCs w:val="32"/>
        </w:rPr>
        <w:t>制定《遂昌县危险化学品专项整治三年行动计划》</w:t>
      </w:r>
      <w:r>
        <w:rPr>
          <w:rFonts w:hint="eastAsia" w:ascii="仿宋_GB2312" w:hAnsi="仿宋" w:eastAsia="仿宋_GB2312"/>
          <w:sz w:val="32"/>
          <w:szCs w:val="32"/>
        </w:rPr>
        <w:t>、</w:t>
      </w:r>
      <w:r>
        <w:rPr>
          <w:rFonts w:ascii="仿宋_GB2312" w:hAnsi="仿宋" w:eastAsia="仿宋_GB2312"/>
          <w:sz w:val="32"/>
          <w:szCs w:val="32"/>
        </w:rPr>
        <w:t>《遂昌县金属非金属矿山安全生产攻坚克难工作方案》</w:t>
      </w:r>
      <w:r>
        <w:rPr>
          <w:rFonts w:hint="eastAsia" w:ascii="仿宋_GB2312" w:hAnsi="仿宋" w:eastAsia="仿宋_GB2312"/>
          <w:sz w:val="32"/>
          <w:szCs w:val="32"/>
        </w:rPr>
        <w:t>，深化</w:t>
      </w:r>
      <w:r>
        <w:rPr>
          <w:rFonts w:ascii="仿宋_GB2312" w:hAnsi="仿宋" w:eastAsia="仿宋_GB2312"/>
          <w:sz w:val="32"/>
          <w:szCs w:val="32"/>
        </w:rPr>
        <w:t>消防、工矿商贸、危化品、交通运输、建筑施工、特种设备</w:t>
      </w:r>
      <w:r>
        <w:rPr>
          <w:rFonts w:hint="eastAsia" w:ascii="仿宋_GB2312" w:hAnsi="仿宋" w:eastAsia="仿宋_GB2312"/>
          <w:sz w:val="32"/>
          <w:szCs w:val="32"/>
        </w:rPr>
        <w:t>领域“大起底、大整治、大提升”专项行动，重大安全风险隐患得到有效整治。大力实施安全生产专项整治三年行动、</w:t>
      </w:r>
      <w:r>
        <w:rPr>
          <w:rFonts w:ascii="仿宋_GB2312" w:hAnsi="仿宋" w:eastAsia="仿宋_GB2312"/>
          <w:sz w:val="32"/>
          <w:szCs w:val="32"/>
        </w:rPr>
        <w:t>矿山危化行业整治</w:t>
      </w:r>
      <w:r>
        <w:rPr>
          <w:rFonts w:hint="eastAsia" w:ascii="仿宋_GB2312" w:hAnsi="仿宋" w:eastAsia="仿宋_GB2312"/>
          <w:sz w:val="32"/>
          <w:szCs w:val="32"/>
        </w:rPr>
        <w:t>、</w:t>
      </w:r>
      <w:r>
        <w:rPr>
          <w:rFonts w:ascii="仿宋_GB2312" w:hAnsi="仿宋" w:eastAsia="仿宋_GB2312"/>
          <w:sz w:val="32"/>
          <w:szCs w:val="32"/>
        </w:rPr>
        <w:t>“奋战60天</w:t>
      </w:r>
      <w:r>
        <w:rPr>
          <w:rFonts w:ascii="Calibri" w:hAnsi="Calibri" w:eastAsia="Calibri" w:cs="Calibri"/>
          <w:sz w:val="32"/>
          <w:szCs w:val="32"/>
        </w:rPr>
        <w:t>•</w:t>
      </w:r>
      <w:r>
        <w:rPr>
          <w:rFonts w:ascii="仿宋_GB2312" w:hAnsi="仿宋" w:eastAsia="仿宋_GB2312"/>
          <w:sz w:val="32"/>
          <w:szCs w:val="32"/>
        </w:rPr>
        <w:t>平安迎大庆”</w:t>
      </w:r>
      <w:r>
        <w:rPr>
          <w:rFonts w:hint="eastAsia" w:ascii="仿宋_GB2312" w:hAnsi="仿宋" w:eastAsia="仿宋_GB2312"/>
          <w:sz w:val="32"/>
          <w:szCs w:val="32"/>
        </w:rPr>
        <w:t>、</w:t>
      </w:r>
      <w:r>
        <w:rPr>
          <w:rFonts w:ascii="仿宋_GB2312" w:hAnsi="仿宋" w:eastAsia="仿宋_GB2312"/>
          <w:sz w:val="32"/>
          <w:szCs w:val="32"/>
        </w:rPr>
        <w:t>“再战60天</w:t>
      </w:r>
      <w:r>
        <w:rPr>
          <w:rFonts w:ascii="Calibri" w:hAnsi="Calibri" w:eastAsia="Calibri" w:cs="Calibri"/>
          <w:sz w:val="32"/>
          <w:szCs w:val="32"/>
        </w:rPr>
        <w:t>•</w:t>
      </w:r>
      <w:r>
        <w:rPr>
          <w:rFonts w:ascii="仿宋_GB2312" w:hAnsi="仿宋" w:eastAsia="仿宋_GB2312"/>
          <w:sz w:val="32"/>
          <w:szCs w:val="32"/>
        </w:rPr>
        <w:t>全年保平安”</w:t>
      </w:r>
      <w:r>
        <w:rPr>
          <w:rFonts w:hint="eastAsia" w:ascii="仿宋_GB2312" w:hAnsi="仿宋" w:eastAsia="仿宋_GB2312"/>
          <w:sz w:val="32"/>
          <w:szCs w:val="32"/>
        </w:rPr>
        <w:t>、</w:t>
      </w:r>
      <w:r>
        <w:rPr>
          <w:rFonts w:ascii="仿宋_GB2312" w:hAnsi="仿宋" w:eastAsia="仿宋_GB2312"/>
          <w:sz w:val="32"/>
          <w:szCs w:val="32"/>
        </w:rPr>
        <w:t>小微企业安全生产和消防安全整治</w:t>
      </w:r>
      <w:r>
        <w:rPr>
          <w:rFonts w:hint="eastAsia" w:ascii="仿宋_GB2312" w:hAnsi="仿宋" w:eastAsia="仿宋_GB2312"/>
          <w:sz w:val="32"/>
          <w:szCs w:val="32"/>
        </w:rPr>
        <w:t>、</w:t>
      </w:r>
      <w:r>
        <w:rPr>
          <w:rFonts w:ascii="仿宋_GB2312" w:hAnsi="仿宋" w:eastAsia="仿宋_GB2312"/>
          <w:sz w:val="32"/>
          <w:szCs w:val="32"/>
        </w:rPr>
        <w:t>东城新区环境综合整治</w:t>
      </w:r>
      <w:r>
        <w:rPr>
          <w:rFonts w:hint="eastAsia" w:ascii="仿宋_GB2312" w:hAnsi="仿宋" w:eastAsia="仿宋_GB2312"/>
          <w:sz w:val="32"/>
          <w:szCs w:val="32"/>
        </w:rPr>
        <w:t>、</w:t>
      </w:r>
      <w:r>
        <w:rPr>
          <w:rFonts w:ascii="仿宋_GB2312" w:hAnsi="仿宋" w:eastAsia="仿宋_GB2312"/>
          <w:sz w:val="32"/>
          <w:szCs w:val="32"/>
        </w:rPr>
        <w:t>机动车维修行业整治等专项行动</w:t>
      </w:r>
      <w:r>
        <w:rPr>
          <w:rFonts w:hint="eastAsia" w:ascii="仿宋_GB2312" w:hAnsi="仿宋" w:eastAsia="仿宋_GB2312"/>
          <w:sz w:val="32"/>
          <w:szCs w:val="32"/>
        </w:rPr>
        <w:t>，常抓严管的长效机制逐步建立。“十三五”期间，</w:t>
      </w:r>
      <w:r>
        <w:rPr>
          <w:rFonts w:ascii="仿宋_GB2312" w:hAnsi="仿宋" w:eastAsia="仿宋_GB2312"/>
          <w:sz w:val="32"/>
          <w:szCs w:val="32"/>
        </w:rPr>
        <w:t>全县安全生产形势总体平稳，各类突发事件得到有效处置</w:t>
      </w:r>
      <w:r>
        <w:rPr>
          <w:rFonts w:hint="eastAsia" w:ascii="仿宋_GB2312" w:hAnsi="仿宋" w:eastAsia="仿宋_GB2312"/>
          <w:sz w:val="32"/>
          <w:szCs w:val="32"/>
        </w:rPr>
        <w:t>，</w:t>
      </w:r>
      <w:r>
        <w:rPr>
          <w:rFonts w:hint="eastAsia" w:ascii="仿宋_GB2312" w:hAnsi="仿宋_GB2312" w:eastAsia="仿宋_GB2312" w:cs="仿宋_GB2312"/>
          <w:sz w:val="32"/>
          <w:szCs w:val="32"/>
        </w:rPr>
        <w:t>安全生产隐患得到有效治理，</w:t>
      </w:r>
      <w:r>
        <w:rPr>
          <w:rFonts w:ascii="仿宋_GB2312" w:hAnsi="仿宋" w:eastAsia="仿宋_GB2312"/>
          <w:sz w:val="32"/>
          <w:szCs w:val="32"/>
        </w:rPr>
        <w:t>亿元GDP生产安全事故死亡率从2015年的0.197下降到了20</w:t>
      </w:r>
      <w:r>
        <w:rPr>
          <w:rFonts w:hint="eastAsia" w:ascii="仿宋_GB2312" w:hAnsi="仿宋" w:eastAsia="仿宋_GB2312"/>
          <w:sz w:val="32"/>
          <w:szCs w:val="32"/>
        </w:rPr>
        <w:t>20</w:t>
      </w:r>
      <w:r>
        <w:rPr>
          <w:rFonts w:ascii="仿宋_GB2312" w:hAnsi="仿宋" w:eastAsia="仿宋_GB2312"/>
          <w:sz w:val="32"/>
          <w:szCs w:val="32"/>
        </w:rPr>
        <w:t>年的0.04</w:t>
      </w:r>
      <w:r>
        <w:rPr>
          <w:rFonts w:hint="eastAsia" w:ascii="仿宋_GB2312" w:hAnsi="仿宋" w:eastAsia="仿宋_GB2312"/>
          <w:sz w:val="32"/>
          <w:szCs w:val="32"/>
        </w:rPr>
        <w:t>6，</w:t>
      </w:r>
      <w:r>
        <w:rPr>
          <w:rFonts w:ascii="仿宋_GB2312" w:hAnsi="仿宋" w:eastAsia="仿宋_GB2312"/>
          <w:sz w:val="32"/>
          <w:szCs w:val="32"/>
        </w:rPr>
        <w:t>连续5年没有发生较大及以上安全生产事故</w:t>
      </w:r>
      <w:r>
        <w:rPr>
          <w:rFonts w:hint="eastAsia" w:ascii="仿宋_GB2312" w:hAnsi="仿宋" w:eastAsia="仿宋_GB2312"/>
          <w:sz w:val="32"/>
          <w:szCs w:val="32"/>
        </w:rPr>
        <w:t>。</w:t>
      </w:r>
      <w:r>
        <w:rPr>
          <w:rFonts w:ascii="仿宋_GB2312" w:hAnsi="仿宋" w:eastAsia="仿宋_GB2312"/>
          <w:sz w:val="32"/>
          <w:szCs w:val="32"/>
        </w:rPr>
        <w:t xml:space="preserve"> </w:t>
      </w:r>
    </w:p>
    <w:p>
      <w:pPr>
        <w:snapToGrid w:val="0"/>
        <w:spacing w:line="300" w:lineRule="auto"/>
        <w:ind w:firstLine="643" w:firstLineChars="200"/>
        <w:rPr>
          <w:rFonts w:ascii="仿宋_GB2312" w:hAnsi="仿宋" w:eastAsia="仿宋_GB2312"/>
          <w:sz w:val="32"/>
          <w:szCs w:val="32"/>
        </w:rPr>
      </w:pPr>
      <w:r>
        <w:rPr>
          <w:rFonts w:ascii="仿宋_GB2312" w:hAnsi="仿宋" w:eastAsia="仿宋_GB2312"/>
          <w:b/>
          <w:bCs/>
          <w:sz w:val="32"/>
          <w:szCs w:val="32"/>
        </w:rPr>
        <w:t>3</w:t>
      </w:r>
      <w:r>
        <w:rPr>
          <w:rFonts w:hint="eastAsia" w:ascii="仿宋_GB2312" w:hAnsi="仿宋" w:eastAsia="仿宋_GB2312"/>
          <w:b/>
          <w:bCs/>
          <w:sz w:val="32"/>
          <w:szCs w:val="32"/>
        </w:rPr>
        <w:t>.</w:t>
      </w:r>
      <w:r>
        <w:rPr>
          <w:rFonts w:hint="eastAsia" w:ascii="仿宋_GB2312" w:hAnsi="Arial" w:eastAsia="仿宋_GB2312" w:cs="Arial"/>
          <w:b/>
          <w:bCs/>
          <w:sz w:val="32"/>
          <w:szCs w:val="32"/>
        </w:rPr>
        <w:t>防灾减灾工作有序开展。</w:t>
      </w:r>
      <w:r>
        <w:rPr>
          <w:rFonts w:hint="eastAsia" w:eastAsia="仿宋_GB2312"/>
          <w:sz w:val="32"/>
          <w:szCs w:val="32"/>
        </w:rPr>
        <w:t>强化体制机制建设，理顺指挥层级和各专业指挥部边界职责，建立“</w:t>
      </w:r>
      <w:r>
        <w:rPr>
          <w:rFonts w:eastAsia="仿宋_GB2312"/>
          <w:sz w:val="32"/>
          <w:szCs w:val="32"/>
        </w:rPr>
        <w:t>1+5</w:t>
      </w:r>
      <w:r>
        <w:rPr>
          <w:rFonts w:hint="eastAsia" w:eastAsia="仿宋_GB2312"/>
          <w:sz w:val="32"/>
          <w:szCs w:val="32"/>
        </w:rPr>
        <w:t>”应急管理指挥体系，实现会商指令的规范化、标准化、科学化，先后组织防汛防台会商、安全生产会商、森林防火会商等，解决影响和制约我县自然灾害防治和安全生产方面的突出问题。实施县、乡、村“三级联防联动”，实现全员全时防灾。严格落实以行政首长负责制为核心，建立“县领导包乡、乡镇</w:t>
      </w:r>
      <w:r>
        <w:rPr>
          <w:rFonts w:hint="eastAsia" w:ascii="仿宋_GB2312" w:hAnsi="Arial" w:eastAsia="仿宋_GB2312" w:cs="Arial"/>
          <w:sz w:val="32"/>
          <w:szCs w:val="32"/>
        </w:rPr>
        <w:t>领导包村、村干部包户到人”的工作责任制，加大避灾场所建设与提升工作力度，创成</w:t>
      </w:r>
      <w:r>
        <w:rPr>
          <w:rFonts w:hint="eastAsia" w:ascii="仿宋_GB2312" w:hAnsi="Arial" w:eastAsia="仿宋_GB2312" w:cs="Arial"/>
          <w:color w:val="auto"/>
          <w:sz w:val="32"/>
          <w:szCs w:val="32"/>
        </w:rPr>
        <w:t>3个国家级、省级综合减灾示范社区。健全森林防火责任机制，开展</w:t>
      </w:r>
      <w:r>
        <w:rPr>
          <w:rFonts w:hint="eastAsia" w:ascii="仿宋_GB2312" w:hAnsi="仿宋_GB2312" w:eastAsia="仿宋_GB2312" w:cs="仿宋_GB2312"/>
          <w:color w:val="auto"/>
          <w:sz w:val="32"/>
          <w:szCs w:val="32"/>
        </w:rPr>
        <w:t>全方位、拉网式的森林火灾隐患排查</w:t>
      </w:r>
      <w:r>
        <w:rPr>
          <w:rFonts w:hint="eastAsia" w:ascii="仿宋_GB2312" w:hAnsi="Arial" w:eastAsia="仿宋_GB2312" w:cs="Arial"/>
          <w:color w:val="auto"/>
          <w:sz w:val="32"/>
          <w:szCs w:val="32"/>
        </w:rPr>
        <w:t>，并</w:t>
      </w:r>
      <w:r>
        <w:rPr>
          <w:rFonts w:hint="eastAsia" w:ascii="仿宋_GB2312" w:hAnsi="仿宋" w:eastAsia="仿宋_GB2312"/>
          <w:color w:val="auto"/>
          <w:sz w:val="32"/>
          <w:szCs w:val="32"/>
        </w:rPr>
        <w:t>加大森林防灭火应急救援队伍建设，全县</w:t>
      </w:r>
      <w:r>
        <w:rPr>
          <w:rFonts w:ascii="仿宋_GB2312" w:hAnsi="仿宋" w:eastAsia="仿宋_GB2312"/>
          <w:color w:val="auto"/>
          <w:sz w:val="32"/>
          <w:szCs w:val="32"/>
        </w:rPr>
        <w:t>建有29支乡镇级森林消防应急队伍</w:t>
      </w:r>
      <w:r>
        <w:rPr>
          <w:rFonts w:hint="eastAsia" w:ascii="仿宋_GB2312" w:hAnsi="仿宋" w:eastAsia="仿宋_GB2312"/>
          <w:color w:val="auto"/>
          <w:sz w:val="32"/>
          <w:szCs w:val="32"/>
        </w:rPr>
        <w:t>、</w:t>
      </w:r>
      <w:r>
        <w:rPr>
          <w:rFonts w:ascii="仿宋_GB2312" w:hAnsi="仿宋" w:eastAsia="仿宋_GB2312"/>
          <w:color w:val="auto"/>
          <w:sz w:val="32"/>
          <w:szCs w:val="32"/>
        </w:rPr>
        <w:t>8支村级森林消防队伍，配备</w:t>
      </w:r>
      <w:r>
        <w:rPr>
          <w:rFonts w:hint="eastAsia" w:ascii="仿宋_GB2312" w:hAnsi="仿宋" w:eastAsia="仿宋_GB2312"/>
          <w:color w:val="auto"/>
          <w:sz w:val="32"/>
          <w:szCs w:val="32"/>
        </w:rPr>
        <w:t>5</w:t>
      </w:r>
      <w:r>
        <w:rPr>
          <w:rFonts w:ascii="仿宋_GB2312" w:hAnsi="仿宋" w:eastAsia="仿宋_GB2312"/>
          <w:color w:val="auto"/>
          <w:sz w:val="32"/>
          <w:szCs w:val="32"/>
        </w:rPr>
        <w:t>20位护林员</w:t>
      </w:r>
      <w:r>
        <w:rPr>
          <w:rFonts w:hint="eastAsia" w:ascii="仿宋_GB2312" w:hAnsi="仿宋" w:eastAsia="仿宋_GB2312"/>
          <w:color w:val="auto"/>
          <w:sz w:val="32"/>
          <w:szCs w:val="32"/>
        </w:rPr>
        <w:t>，初步形成森林防灭火半小时扑救圈。</w:t>
      </w:r>
      <w:r>
        <w:rPr>
          <w:rFonts w:hint="eastAsia" w:ascii="仿宋_GB2312" w:hAnsi="仿宋" w:eastAsia="仿宋_GB2312"/>
          <w:sz w:val="32"/>
          <w:szCs w:val="32"/>
        </w:rPr>
        <w:t>“</w:t>
      </w:r>
      <w:r>
        <w:rPr>
          <w:rFonts w:hint="eastAsia" w:ascii="仿宋_GB2312" w:hAnsi="仿宋_GB2312" w:eastAsia="仿宋_GB2312"/>
          <w:sz w:val="32"/>
          <w:szCs w:val="28"/>
        </w:rPr>
        <w:t>十三五</w:t>
      </w:r>
      <w:r>
        <w:rPr>
          <w:rFonts w:hint="eastAsia" w:ascii="仿宋_GB2312" w:hAnsi="仿宋" w:eastAsia="仿宋_GB2312"/>
          <w:sz w:val="32"/>
          <w:szCs w:val="32"/>
        </w:rPr>
        <w:t>”</w:t>
      </w:r>
      <w:r>
        <w:rPr>
          <w:rFonts w:hint="eastAsia" w:ascii="仿宋_GB2312" w:hAnsi="仿宋_GB2312" w:eastAsia="仿宋_GB2312"/>
          <w:sz w:val="32"/>
          <w:szCs w:val="28"/>
        </w:rPr>
        <w:t>期间，我县</w:t>
      </w:r>
      <w:r>
        <w:rPr>
          <w:rFonts w:hint="eastAsia" w:ascii="仿宋_GB2312" w:hAnsi="Arial" w:eastAsia="仿宋_GB2312" w:cs="Arial"/>
          <w:sz w:val="32"/>
          <w:szCs w:val="32"/>
        </w:rPr>
        <w:t>成功</w:t>
      </w:r>
      <w:r>
        <w:rPr>
          <w:rFonts w:hint="eastAsia" w:ascii="仿宋_GB2312" w:hAnsi="宋体" w:eastAsia="仿宋_GB2312" w:cs="仿宋_GB2312"/>
          <w:sz w:val="32"/>
          <w:szCs w:val="32"/>
        </w:rPr>
        <w:t>对梅汛期多轮强降雨和“利奇马”超强台风自然灾害，以及“</w:t>
      </w:r>
      <w:r>
        <w:rPr>
          <w:rFonts w:ascii="仿宋_GB2312" w:hAnsi="宋体" w:eastAsia="仿宋_GB2312" w:cs="仿宋_GB2312"/>
          <w:sz w:val="32"/>
          <w:szCs w:val="32"/>
        </w:rPr>
        <w:t>11</w:t>
      </w:r>
      <w:r>
        <w:rPr>
          <w:rFonts w:hint="eastAsia" w:ascii="仿宋_GB2312" w:hAnsi="宋体" w:eastAsia="仿宋_GB2312" w:cs="仿宋_GB2312"/>
          <w:sz w:val="32"/>
          <w:szCs w:val="32"/>
        </w:rPr>
        <w:t>·</w:t>
      </w:r>
      <w:r>
        <w:rPr>
          <w:rFonts w:ascii="仿宋_GB2312" w:hAnsi="宋体" w:eastAsia="仿宋_GB2312" w:cs="仿宋_GB2312"/>
          <w:sz w:val="32"/>
          <w:szCs w:val="32"/>
        </w:rPr>
        <w:t>20</w:t>
      </w:r>
      <w:r>
        <w:rPr>
          <w:rFonts w:hint="eastAsia" w:ascii="仿宋_GB2312" w:hAnsi="宋体" w:eastAsia="仿宋_GB2312" w:cs="仿宋_GB2312"/>
          <w:sz w:val="32"/>
          <w:szCs w:val="32"/>
        </w:rPr>
        <w:t>”云峰长濂森林火灾，应急管理、安全生产、防汛、森林防火各项工作实现了平稳过渡。</w:t>
      </w:r>
      <w:r>
        <w:rPr>
          <w:rFonts w:ascii="仿宋_GB2312" w:hAnsi="宋体" w:eastAsia="仿宋_GB2312" w:cs="仿宋_GB2312"/>
          <w:sz w:val="32"/>
          <w:szCs w:val="32"/>
        </w:rPr>
        <w:t>2019年，遂昌防汛“三个到位”做法得到冯飞常务副省长批示肯定。</w:t>
      </w:r>
    </w:p>
    <w:p>
      <w:pPr>
        <w:snapToGrid w:val="0"/>
        <w:spacing w:line="300" w:lineRule="auto"/>
        <w:ind w:firstLine="643" w:firstLineChars="200"/>
        <w:rPr>
          <w:rFonts w:ascii="仿宋_GB2312" w:hAnsi="仿宋" w:eastAsia="仿宋_GB2312"/>
          <w:sz w:val="32"/>
          <w:szCs w:val="32"/>
        </w:rPr>
      </w:pPr>
      <w:r>
        <w:rPr>
          <w:rFonts w:ascii="仿宋_GB2312" w:hAnsi="仿宋" w:eastAsia="仿宋_GB2312"/>
          <w:b/>
          <w:bCs/>
          <w:sz w:val="32"/>
          <w:szCs w:val="32"/>
        </w:rPr>
        <w:t>4</w:t>
      </w:r>
      <w:r>
        <w:rPr>
          <w:rFonts w:hint="eastAsia" w:ascii="仿宋_GB2312" w:hAnsi="仿宋" w:eastAsia="仿宋_GB2312"/>
          <w:b/>
          <w:bCs/>
          <w:sz w:val="32"/>
          <w:szCs w:val="32"/>
        </w:rPr>
        <w:t>.监管执法能力不断提升。</w:t>
      </w:r>
      <w:r>
        <w:rPr>
          <w:rFonts w:hint="eastAsia" w:ascii="仿宋_GB2312" w:hAnsi="仿宋" w:eastAsia="仿宋_GB2312"/>
          <w:sz w:val="32"/>
          <w:szCs w:val="32"/>
        </w:rPr>
        <w:t>深入贯彻《</w:t>
      </w:r>
      <w:r>
        <w:rPr>
          <w:rFonts w:ascii="仿宋_GB2312" w:hAnsi="仿宋" w:eastAsia="仿宋_GB2312"/>
          <w:sz w:val="32"/>
          <w:szCs w:val="32"/>
        </w:rPr>
        <w:t>关于加强基层应急管理体系建设的实施意见》和《关于规范基层应急管理员队伍建设工作的指导意见》</w:t>
      </w:r>
      <w:r>
        <w:rPr>
          <w:rFonts w:hint="eastAsia" w:ascii="仿宋_GB2312" w:hAnsi="仿宋" w:eastAsia="仿宋_GB2312"/>
          <w:sz w:val="32"/>
          <w:szCs w:val="32"/>
        </w:rPr>
        <w:t>，</w:t>
      </w:r>
      <w:r>
        <w:rPr>
          <w:rFonts w:hint="eastAsia" w:ascii="仿宋_GB2312" w:eastAsia="仿宋_GB2312"/>
          <w:sz w:val="32"/>
          <w:szCs w:val="32"/>
        </w:rPr>
        <w:t>大力推进安全监管网格化、信息化和基层安全责任网建设，实现事故隐患排查治理工作规范化、常态化。</w:t>
      </w:r>
      <w:r>
        <w:rPr>
          <w:rFonts w:ascii="仿宋_GB2312" w:eastAsia="仿宋_GB2312"/>
          <w:sz w:val="32"/>
          <w:szCs w:val="32"/>
        </w:rPr>
        <w:t>建立落实安全监管执法通报、问责和曝光机制。加大</w:t>
      </w:r>
      <w:r>
        <w:rPr>
          <w:rFonts w:hint="eastAsia" w:ascii="仿宋_GB2312" w:eastAsia="仿宋_GB2312"/>
          <w:sz w:val="32"/>
          <w:szCs w:val="32"/>
        </w:rPr>
        <w:t>调查</w:t>
      </w:r>
      <w:r>
        <w:rPr>
          <w:rFonts w:ascii="仿宋_GB2312" w:eastAsia="仿宋_GB2312"/>
          <w:sz w:val="32"/>
          <w:szCs w:val="32"/>
        </w:rPr>
        <w:t>处罚</w:t>
      </w:r>
      <w:r>
        <w:rPr>
          <w:rFonts w:hint="eastAsia" w:ascii="仿宋_GB2312" w:eastAsia="仿宋_GB2312"/>
          <w:sz w:val="32"/>
          <w:szCs w:val="32"/>
        </w:rPr>
        <w:t>追责</w:t>
      </w:r>
      <w:r>
        <w:rPr>
          <w:rFonts w:ascii="仿宋_GB2312" w:eastAsia="仿宋_GB2312"/>
          <w:sz w:val="32"/>
          <w:szCs w:val="32"/>
        </w:rPr>
        <w:t>力度，严厉打击各类违法违规行为，紧盯重大节假日、重点时段，通过明察暗访、督查等手段，切实加强各行业领域安全防范工作。开展重大事故隐患挂牌督办，实施闭环管理。</w:t>
      </w:r>
      <w:r>
        <w:rPr>
          <w:rFonts w:hint="eastAsia" w:ascii="仿宋_GB2312" w:hAnsi="仿宋" w:eastAsia="仿宋_GB2312"/>
          <w:sz w:val="32"/>
          <w:szCs w:val="32"/>
        </w:rPr>
        <w:t>不断以各种方式加强对街道乡镇和部门的安全生产监管人员的培训，采购并发放了移动执法设备、器材，基层执法能效得到提高。</w:t>
      </w:r>
    </w:p>
    <w:p>
      <w:pPr>
        <w:snapToGrid w:val="0"/>
        <w:spacing w:line="300" w:lineRule="auto"/>
        <w:ind w:firstLine="643" w:firstLineChars="200"/>
        <w:rPr>
          <w:rFonts w:ascii="仿宋_GB2312" w:hAnsi="仿宋_GB2312" w:eastAsia="仿宋_GB2312" w:cs="仿宋_GB2312"/>
          <w:sz w:val="32"/>
          <w:szCs w:val="32"/>
        </w:rPr>
      </w:pPr>
      <w:r>
        <w:rPr>
          <w:rFonts w:ascii="仿宋_GB2312" w:hAnsi="仿宋" w:eastAsia="仿宋_GB2312"/>
          <w:b/>
          <w:bCs/>
          <w:sz w:val="32"/>
          <w:szCs w:val="32"/>
        </w:rPr>
        <w:t>5</w:t>
      </w:r>
      <w:r>
        <w:rPr>
          <w:rFonts w:hint="eastAsia" w:ascii="仿宋_GB2312" w:hAnsi="仿宋" w:eastAsia="仿宋_GB2312"/>
          <w:b/>
          <w:bCs/>
          <w:sz w:val="32"/>
          <w:szCs w:val="32"/>
        </w:rPr>
        <w:t>.综合应急救援能力持续增强。</w:t>
      </w:r>
      <w:r>
        <w:rPr>
          <w:rFonts w:hint="eastAsia" w:ascii="仿宋_GB2312" w:hAnsi="仿宋" w:eastAsia="仿宋_GB2312"/>
          <w:sz w:val="32"/>
          <w:szCs w:val="32"/>
        </w:rPr>
        <w:t>初步建立了以应急指挥、抢险救援、灾害救助、恢复重建为主要内容的自然灾害救助体系。“十三五”期间，</w:t>
      </w:r>
      <w:r>
        <w:rPr>
          <w:rFonts w:ascii="仿宋_GB2312" w:hAnsi="仿宋" w:eastAsia="仿宋_GB2312"/>
          <w:sz w:val="32"/>
          <w:szCs w:val="32"/>
        </w:rPr>
        <w:t>全县共建成155个避灾安置场所，规范化避灾安置场所74个。</w:t>
      </w:r>
      <w:r>
        <w:rPr>
          <w:rFonts w:hint="eastAsia" w:ascii="仿宋_GB2312" w:hAnsi="仿宋" w:eastAsia="仿宋_GB2312"/>
          <w:sz w:val="32"/>
          <w:szCs w:val="32"/>
        </w:rPr>
        <w:t>综合性应急救援队伍、应急救援专业辅助队伍和社会专业救援组织等建设初见成效，进一步完成远中近的救援力量布局。制定出台《关于培育支持社会救援力量发展的实施意见》，打造多专型社会救援队伍结构，培育</w:t>
      </w:r>
      <w:r>
        <w:rPr>
          <w:rFonts w:ascii="仿宋_GB2312" w:hAnsi="仿宋" w:eastAsia="仿宋_GB2312"/>
          <w:sz w:val="32"/>
          <w:szCs w:val="32"/>
        </w:rPr>
        <w:t>蓝天</w:t>
      </w:r>
      <w:r>
        <w:rPr>
          <w:rFonts w:hint="eastAsia" w:ascii="仿宋_GB2312" w:hAnsi="仿宋" w:eastAsia="仿宋_GB2312"/>
          <w:sz w:val="32"/>
          <w:szCs w:val="32"/>
        </w:rPr>
        <w:t>、</w:t>
      </w:r>
      <w:r>
        <w:rPr>
          <w:rFonts w:ascii="仿宋_GB2312" w:hAnsi="仿宋" w:eastAsia="仿宋_GB2312"/>
          <w:sz w:val="32"/>
          <w:szCs w:val="32"/>
        </w:rPr>
        <w:t>飞鹰</w:t>
      </w:r>
      <w:r>
        <w:rPr>
          <w:rFonts w:hint="eastAsia" w:ascii="仿宋_GB2312" w:hAnsi="仿宋_GB2312" w:eastAsia="仿宋_GB2312" w:cs="仿宋_GB2312"/>
          <w:sz w:val="32"/>
          <w:szCs w:val="32"/>
        </w:rPr>
        <w:t>等优秀社会应急救援队伍。</w:t>
      </w:r>
      <w:r>
        <w:rPr>
          <w:rFonts w:hint="eastAsia" w:ascii="仿宋_GB2312" w:hAnsi="仿宋" w:eastAsia="仿宋_GB2312"/>
          <w:sz w:val="32"/>
          <w:szCs w:val="32"/>
        </w:rPr>
        <w:t>加强突发事件应急救援演练，依托信息化建设推进突发事件应急指挥和处置协调联动，健全信息发布、应急响应、灾后调查评估等制度</w:t>
      </w:r>
      <w:r>
        <w:rPr>
          <w:rFonts w:hint="eastAsia" w:ascii="仿宋_GB2312" w:hAnsi="仿宋" w:eastAsia="仿宋_GB2312"/>
          <w:color w:val="auto"/>
          <w:sz w:val="32"/>
          <w:szCs w:val="32"/>
        </w:rPr>
        <w:t>，举办实战化综合应急演练300余场次，</w:t>
      </w:r>
      <w:r>
        <w:rPr>
          <w:rFonts w:hint="eastAsia" w:ascii="仿宋_GB2312" w:hAnsi="仿宋" w:eastAsia="仿宋_GB2312"/>
          <w:sz w:val="32"/>
          <w:szCs w:val="32"/>
        </w:rPr>
        <w:t>全县综合应急救援能力有效增强。</w:t>
      </w:r>
    </w:p>
    <w:p>
      <w:pPr>
        <w:snapToGrid w:val="0"/>
        <w:spacing w:line="300" w:lineRule="auto"/>
        <w:ind w:firstLine="643" w:firstLineChars="200"/>
        <w:rPr>
          <w:rFonts w:ascii="仿宋_GB2312" w:hAnsi="仿宋" w:eastAsia="仿宋_GB2312" w:cs="仿宋_GB2312"/>
          <w:sz w:val="32"/>
          <w:szCs w:val="32"/>
        </w:rPr>
      </w:pPr>
      <w:r>
        <w:rPr>
          <w:rFonts w:ascii="仿宋_GB2312" w:hAnsi="仿宋" w:eastAsia="仿宋_GB2312"/>
          <w:b/>
          <w:bCs/>
          <w:sz w:val="32"/>
          <w:szCs w:val="32"/>
        </w:rPr>
        <w:t>6</w:t>
      </w:r>
      <w:r>
        <w:rPr>
          <w:rFonts w:hint="eastAsia" w:ascii="仿宋_GB2312" w:hAnsi="仿宋" w:eastAsia="仿宋_GB2312"/>
          <w:b/>
          <w:bCs/>
          <w:sz w:val="32"/>
          <w:szCs w:val="32"/>
        </w:rPr>
        <w:t>.</w:t>
      </w:r>
      <w:r>
        <w:rPr>
          <w:rFonts w:hint="eastAsia" w:ascii="仿宋_GB2312" w:hAnsi="Arial" w:eastAsia="仿宋_GB2312" w:cs="Arial"/>
          <w:b/>
          <w:bCs/>
          <w:sz w:val="32"/>
          <w:szCs w:val="32"/>
        </w:rPr>
        <w:t>应急管理宣教深入贯彻</w:t>
      </w:r>
      <w:r>
        <w:rPr>
          <w:rFonts w:hint="eastAsia" w:ascii="仿宋_GB2312" w:hAnsi="仿宋" w:eastAsia="仿宋_GB2312"/>
          <w:b/>
          <w:bCs/>
          <w:sz w:val="32"/>
          <w:szCs w:val="32"/>
        </w:rPr>
        <w:t>。</w:t>
      </w:r>
      <w:r>
        <w:rPr>
          <w:rFonts w:hint="eastAsia" w:ascii="仿宋_GB2312" w:hAnsi="仿宋" w:eastAsia="仿宋_GB2312"/>
          <w:sz w:val="32"/>
          <w:szCs w:val="32"/>
        </w:rPr>
        <w:t>完善应急宣教培训体系建设，深入落实《全民安全素养提升三年行动计划》，</w:t>
      </w:r>
      <w:r>
        <w:rPr>
          <w:rFonts w:hint="eastAsia" w:ascii="仿宋_GB2312" w:hAnsi="仿宋_GB2312" w:eastAsia="仿宋_GB2312" w:cs="仿宋_GB2312"/>
          <w:sz w:val="32"/>
          <w:szCs w:val="32"/>
        </w:rPr>
        <w:t>以安全生产月、消防宣传月、全国防灾减灾日、百万员工大培训等</w:t>
      </w:r>
      <w:r>
        <w:rPr>
          <w:rFonts w:hint="eastAsia" w:eastAsia="仿宋_GB2312"/>
          <w:color w:val="000000"/>
          <w:sz w:val="32"/>
          <w:szCs w:val="32"/>
        </w:rPr>
        <w:t>活动为依托，大力开展安全生产、防灾减灾、应急救援、森林防火与消防安全等培训宣传教育</w:t>
      </w:r>
      <w:r>
        <w:rPr>
          <w:rFonts w:hint="eastAsia" w:ascii="仿宋_GB2312" w:hAnsi="仿宋" w:eastAsia="仿宋_GB2312" w:cs="仿宋_GB2312"/>
          <w:sz w:val="32"/>
          <w:szCs w:val="32"/>
        </w:rPr>
        <w:t>。创新平台与载体，依托数字化平台开发各类互动式、体验式宣传活动，线上线下结合</w:t>
      </w:r>
      <w:r>
        <w:rPr>
          <w:rFonts w:hint="eastAsia" w:eastAsia="仿宋_GB2312"/>
          <w:color w:val="000000"/>
          <w:sz w:val="32"/>
          <w:szCs w:val="32"/>
        </w:rPr>
        <w:t>，提高社会公众应急</w:t>
      </w:r>
      <w:r>
        <w:rPr>
          <w:rFonts w:hint="eastAsia" w:ascii="仿宋_GB2312" w:hAnsi="仿宋" w:eastAsia="仿宋_GB2312" w:cs="仿宋_GB2312"/>
          <w:sz w:val="32"/>
          <w:szCs w:val="32"/>
        </w:rPr>
        <w:t>管理参与度，增强社会公众避灾自救互救的意识和技能。</w:t>
      </w:r>
      <w:r>
        <w:rPr>
          <w:rFonts w:ascii="仿宋_GB2312" w:hAnsi="仿宋" w:eastAsia="仿宋_GB2312" w:cs="仿宋_GB2312"/>
          <w:sz w:val="32"/>
          <w:szCs w:val="32"/>
        </w:rPr>
        <w:t>“十三五”期间，</w:t>
      </w:r>
      <w:r>
        <w:rPr>
          <w:rFonts w:hint="eastAsia" w:eastAsia="仿宋_GB2312"/>
          <w:color w:val="000000"/>
          <w:sz w:val="32"/>
          <w:szCs w:val="32"/>
        </w:rPr>
        <w:t>在</w:t>
      </w:r>
      <w:r>
        <w:rPr>
          <w:rFonts w:eastAsia="仿宋_GB2312"/>
          <w:color w:val="000000"/>
          <w:sz w:val="32"/>
          <w:szCs w:val="32"/>
        </w:rPr>
        <w:t>遂昌县职业中专设立特种作业考点（全市3个），配备即考即领自助打印设备</w:t>
      </w:r>
      <w:r>
        <w:rPr>
          <w:rFonts w:hint="eastAsia" w:eastAsia="仿宋_GB2312"/>
          <w:color w:val="000000"/>
          <w:sz w:val="32"/>
          <w:szCs w:val="32"/>
        </w:rPr>
        <w:t>；</w:t>
      </w:r>
      <w:r>
        <w:rPr>
          <w:rFonts w:hint="eastAsia" w:ascii="仿宋_GB2312" w:hAnsi="仿宋" w:eastAsia="仿宋_GB2312" w:cs="仿宋_GB2312"/>
          <w:color w:val="auto"/>
          <w:sz w:val="32"/>
          <w:szCs w:val="32"/>
        </w:rPr>
        <w:t>全</w:t>
      </w:r>
      <w:r>
        <w:rPr>
          <w:rFonts w:hint="eastAsia" w:eastAsia="仿宋_GB2312"/>
          <w:color w:val="auto"/>
          <w:sz w:val="32"/>
          <w:szCs w:val="32"/>
        </w:rPr>
        <w:t>县</w:t>
      </w:r>
      <w:r>
        <w:rPr>
          <w:rFonts w:hint="eastAsia" w:ascii="仿宋_GB2312" w:hAnsi="仿宋" w:eastAsia="仿宋_GB2312" w:cs="仿宋_GB2312"/>
          <w:color w:val="auto"/>
          <w:sz w:val="32"/>
          <w:szCs w:val="32"/>
        </w:rPr>
        <w:t>举办各类应急宣教培训500余场次，接受培训10000余人次，发放宣传资料10000余册，</w:t>
      </w:r>
      <w:r>
        <w:rPr>
          <w:rFonts w:hint="eastAsia" w:eastAsia="仿宋_GB2312"/>
          <w:color w:val="auto"/>
          <w:sz w:val="32"/>
          <w:szCs w:val="32"/>
        </w:rPr>
        <w:t>社</w:t>
      </w:r>
      <w:r>
        <w:rPr>
          <w:rFonts w:hint="eastAsia" w:eastAsia="仿宋_GB2312"/>
          <w:color w:val="000000"/>
          <w:sz w:val="32"/>
          <w:szCs w:val="32"/>
        </w:rPr>
        <w:t>会公众应急意识不断提升。</w:t>
      </w:r>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7" w:name="_Toc566"/>
      <w:bookmarkStart w:id="8" w:name="_Toc15994"/>
      <w:bookmarkStart w:id="9" w:name="_Toc88430407"/>
      <w:bookmarkStart w:id="10" w:name="_Toc15274"/>
      <w:bookmarkStart w:id="11" w:name="_Toc14654"/>
      <w:bookmarkStart w:id="12" w:name="_Toc21639"/>
      <w:bookmarkStart w:id="13" w:name="_Toc28910"/>
      <w:bookmarkStart w:id="14" w:name="_Toc31780"/>
      <w:bookmarkStart w:id="15" w:name="_Toc72248576"/>
      <w:bookmarkStart w:id="16" w:name="_Toc29726"/>
      <w:bookmarkStart w:id="17" w:name="_Toc26945"/>
      <w:r>
        <w:rPr>
          <w:rFonts w:hint="eastAsia" w:ascii="Times New Roman" w:hAnsi="Times New Roman" w:eastAsia="楷体" w:cs="Times New Roman"/>
          <w:bCs w:val="0"/>
          <w:lang w:eastAsia="zh-CN"/>
        </w:rPr>
        <w:t>（二）发展的机遇</w:t>
      </w:r>
      <w:bookmarkEnd w:id="7"/>
      <w:bookmarkEnd w:id="8"/>
      <w:bookmarkEnd w:id="9"/>
      <w:bookmarkEnd w:id="10"/>
      <w:bookmarkEnd w:id="11"/>
      <w:bookmarkEnd w:id="12"/>
      <w:bookmarkEnd w:id="13"/>
      <w:bookmarkEnd w:id="14"/>
      <w:bookmarkEnd w:id="15"/>
      <w:bookmarkEnd w:id="16"/>
      <w:bookmarkEnd w:id="17"/>
    </w:p>
    <w:p>
      <w:pPr>
        <w:pStyle w:val="18"/>
        <w:snapToGrid w:val="0"/>
        <w:spacing w:line="300" w:lineRule="auto"/>
        <w:ind w:firstLine="640"/>
        <w:rPr>
          <w:rFonts w:ascii="仿宋_GB2312" w:hAnsi="仿宋_GB2312" w:eastAsia="仿宋_GB2312" w:cs="仿宋_GB2312"/>
          <w:color w:val="auto"/>
          <w:sz w:val="32"/>
          <w:szCs w:val="32"/>
        </w:rPr>
      </w:pPr>
      <w:r>
        <w:rPr>
          <w:rFonts w:ascii="仿宋_GB2312" w:hAnsi="仿宋_GB2312" w:eastAsia="仿宋_GB2312" w:cs="仿宋_GB2312"/>
          <w:sz w:val="32"/>
          <w:szCs w:val="32"/>
        </w:rPr>
        <w:t>“十四五”时期是我县实现“换道超越”的关键期，也是我县发展处于大有可为、大有作为的战略机遇期。</w:t>
      </w:r>
      <w:r>
        <w:rPr>
          <w:rFonts w:hint="eastAsia" w:ascii="仿宋_GB2312" w:hAnsi="仿宋_GB2312" w:eastAsia="仿宋_GB2312" w:cs="仿宋_GB2312"/>
          <w:sz w:val="32"/>
          <w:szCs w:val="32"/>
        </w:rPr>
        <w:t>我县安全生产、防灾减灾、应急救援工作拥有许多有利条件和发展机遇。一是从中央至地方各级党委政府高度重视安全生产、防灾减灾、应急救援工作，为安全生产、防灾减灾、应急救援工作提供了强大政策支持和有力的组织保障。二是随着社会不断进步，社会文明素质、安全意识和法治观念加快提升，安全发展的社会环境进一步优化。三是随着经济社会发展提质增效、产业结构优化升级、科技创新快速发展，落后工艺、技术、装备和产能逐步淘汰，自然灾害预警能力不断提升，本质安全水平进一步提高。四是人民群众日益增长的安全需求，以及全社会对安全的高度关注</w:t>
      </w:r>
      <w:r>
        <w:rPr>
          <w:rFonts w:hint="eastAsia" w:ascii="仿宋_GB2312" w:hAnsi="仿宋_GB2312" w:eastAsia="仿宋_GB2312" w:cs="仿宋_GB2312"/>
          <w:color w:val="auto"/>
          <w:sz w:val="32"/>
          <w:szCs w:val="32"/>
        </w:rPr>
        <w:t>，为推动安全生产、防灾减灾、应急救援工作提供了巨大动能</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五是</w:t>
      </w:r>
      <w:r>
        <w:rPr>
          <w:rFonts w:ascii="仿宋_GB2312" w:hAnsi="仿宋_GB2312" w:eastAsia="仿宋_GB2312" w:cs="仿宋_GB2312"/>
          <w:color w:val="auto"/>
          <w:sz w:val="32"/>
          <w:szCs w:val="32"/>
        </w:rPr>
        <w:t>新一轮信息技术变革带来的创新机遇</w:t>
      </w:r>
      <w:r>
        <w:rPr>
          <w:rFonts w:hint="eastAsia" w:ascii="仿宋_GB2312" w:hAnsi="仿宋_GB2312" w:eastAsia="仿宋_GB2312" w:cs="仿宋_GB2312"/>
          <w:color w:val="auto"/>
          <w:sz w:val="32"/>
          <w:szCs w:val="32"/>
        </w:rPr>
        <w:t>，为</w:t>
      </w:r>
      <w:r>
        <w:rPr>
          <w:rFonts w:ascii="仿宋_GB2312" w:hAnsi="仿宋_GB2312" w:eastAsia="仿宋_GB2312" w:cs="仿宋_GB2312"/>
          <w:color w:val="auto"/>
          <w:sz w:val="32"/>
          <w:szCs w:val="32"/>
        </w:rPr>
        <w:t>应急管理体系的数字化转型</w:t>
      </w:r>
      <w:r>
        <w:rPr>
          <w:rFonts w:hint="eastAsia" w:ascii="仿宋_GB2312" w:hAnsi="仿宋_GB2312" w:eastAsia="仿宋_GB2312" w:cs="仿宋_GB2312"/>
          <w:color w:val="auto"/>
          <w:sz w:val="32"/>
          <w:szCs w:val="32"/>
        </w:rPr>
        <w:t>创造了条件，为</w:t>
      </w:r>
      <w:r>
        <w:rPr>
          <w:rFonts w:ascii="仿宋_GB2312" w:hAnsi="仿宋_GB2312" w:eastAsia="仿宋_GB2312" w:cs="仿宋_GB2312"/>
          <w:color w:val="auto"/>
          <w:sz w:val="32"/>
          <w:szCs w:val="32"/>
        </w:rPr>
        <w:t>数字化应急管理新型能力</w:t>
      </w:r>
      <w:r>
        <w:rPr>
          <w:rFonts w:hint="eastAsia" w:ascii="仿宋_GB2312" w:hAnsi="仿宋_GB2312" w:eastAsia="仿宋_GB2312" w:cs="仿宋_GB2312"/>
          <w:color w:val="auto"/>
          <w:sz w:val="32"/>
          <w:szCs w:val="32"/>
        </w:rPr>
        <w:t>提升提供了技术支撑。</w:t>
      </w:r>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18" w:name="_Toc16651"/>
      <w:bookmarkStart w:id="19" w:name="_Toc2957"/>
      <w:bookmarkStart w:id="20" w:name="_Toc7084"/>
      <w:bookmarkStart w:id="21" w:name="_Toc72248577"/>
      <w:bookmarkStart w:id="22" w:name="_Toc27401"/>
      <w:bookmarkStart w:id="23" w:name="_Toc27134"/>
      <w:bookmarkStart w:id="24" w:name="_Toc20701"/>
      <w:bookmarkStart w:id="25" w:name="_Toc9525"/>
      <w:bookmarkStart w:id="26" w:name="_Toc15363"/>
      <w:bookmarkStart w:id="27" w:name="_Toc32612"/>
      <w:bookmarkStart w:id="28" w:name="_Toc88430408"/>
      <w:r>
        <w:rPr>
          <w:rFonts w:hint="eastAsia" w:ascii="Times New Roman" w:hAnsi="Times New Roman" w:eastAsia="楷体" w:cs="Times New Roman"/>
          <w:bCs w:val="0"/>
          <w:lang w:eastAsia="zh-CN"/>
        </w:rPr>
        <w:t>（三）面临的挑战</w:t>
      </w:r>
      <w:bookmarkEnd w:id="18"/>
      <w:bookmarkEnd w:id="19"/>
      <w:bookmarkEnd w:id="20"/>
      <w:bookmarkEnd w:id="21"/>
      <w:bookmarkEnd w:id="22"/>
      <w:bookmarkEnd w:id="23"/>
      <w:bookmarkEnd w:id="24"/>
      <w:bookmarkEnd w:id="25"/>
      <w:bookmarkEnd w:id="26"/>
      <w:bookmarkEnd w:id="27"/>
      <w:bookmarkEnd w:id="28"/>
    </w:p>
    <w:p>
      <w:pPr>
        <w:snapToGrid w:val="0"/>
        <w:spacing w:line="300" w:lineRule="auto"/>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一是应急管理体制机制尚需理顺。</w:t>
      </w:r>
      <w:r>
        <w:rPr>
          <w:rFonts w:hint="eastAsia" w:ascii="仿宋_GB2312" w:hAnsi="仿宋_GB2312" w:eastAsia="仿宋_GB2312" w:cs="仿宋_GB2312"/>
          <w:sz w:val="32"/>
          <w:szCs w:val="32"/>
        </w:rPr>
        <w:t>县应急管理局与乡镇（街道）部分具体工作协调机制运行不畅，与其他相关部门、机构职责边界不清。部分乡镇（街道）应急管理办公室未实体化运作。同时，乡镇（街道）应急专职人员偏少，混岗现象严重，基层应急管理能力仍较为薄弱。</w:t>
      </w:r>
      <w:r>
        <w:rPr>
          <w:rFonts w:hint="eastAsia" w:ascii="仿宋_GB2312" w:hAnsi="仿宋_GB2312" w:eastAsia="仿宋_GB2312" w:cs="仿宋_GB2312"/>
          <w:b/>
          <w:bCs/>
          <w:sz w:val="32"/>
          <w:szCs w:val="32"/>
        </w:rPr>
        <w:t>二是应急响应救援能力尚待提升。</w:t>
      </w:r>
      <w:r>
        <w:rPr>
          <w:rFonts w:hint="eastAsia" w:ascii="仿宋_GB2312" w:hAnsi="仿宋_GB2312" w:eastAsia="仿宋_GB2312" w:cs="仿宋_GB2312"/>
          <w:sz w:val="32"/>
          <w:szCs w:val="32"/>
        </w:rPr>
        <w:t>应急预案信息化和可操作性不足，专项应急预案、部门应急预案与现场处置方案衔接不紧密；应急响应联动机制不顺畅，应急救援力量体系不完善，缺乏专业性救援队伍，与“全灾种、大应急”救援要求存在一定差距。</w:t>
      </w:r>
      <w:r>
        <w:rPr>
          <w:rFonts w:hint="eastAsia" w:ascii="仿宋_GB2312" w:hAnsi="仿宋_GB2312" w:eastAsia="仿宋_GB2312" w:cs="仿宋_GB2312"/>
          <w:b/>
          <w:bCs/>
          <w:sz w:val="32"/>
          <w:szCs w:val="32"/>
        </w:rPr>
        <w:t>三是应急救援保障力度不够。</w:t>
      </w:r>
      <w:r>
        <w:rPr>
          <w:rFonts w:hint="eastAsia" w:ascii="仿宋_GB2312" w:hAnsi="仿宋_GB2312" w:eastAsia="仿宋_GB2312" w:cs="仿宋_GB2312"/>
          <w:sz w:val="32"/>
          <w:szCs w:val="32"/>
        </w:rPr>
        <w:t>应急物资储备、调用、补偿和保障机制有待完善，抢险救援装备器材需求量与实际储备差距较大。对民间救援队伍扶持力度不足，各项经费不能满足实际需要。</w:t>
      </w:r>
      <w:r>
        <w:rPr>
          <w:rFonts w:hint="eastAsia" w:ascii="仿宋_GB2312" w:hAnsi="仿宋_GB2312" w:eastAsia="仿宋_GB2312" w:cs="仿宋_GB2312"/>
          <w:b/>
          <w:bCs/>
          <w:sz w:val="32"/>
          <w:szCs w:val="32"/>
        </w:rPr>
        <w:t>四是自然灾害防治能力亟需增强。</w:t>
      </w:r>
      <w:r>
        <w:rPr>
          <w:rFonts w:hint="eastAsia" w:ascii="仿宋_GB2312" w:hAnsi="仿宋_GB2312" w:eastAsia="仿宋_GB2312" w:cs="仿宋_GB2312"/>
          <w:sz w:val="32"/>
          <w:szCs w:val="32"/>
        </w:rPr>
        <w:t>自然灾害风险认知评估能力不足，物联感知系统、监测数据、预测预警等信息资源碎片化的现状尚未得到有效解决，地质灾害监测还未形成系统化，自然灾害风险数据不清，综合灾害风险辨识不足，森林防火智能化水平有待进一步提升，事后灾害调查评估与救助机制有待进一步健全。</w:t>
      </w:r>
      <w:r>
        <w:rPr>
          <w:rFonts w:hint="eastAsia" w:ascii="仿宋_GB2312" w:hAnsi="仿宋_GB2312" w:eastAsia="仿宋_GB2312" w:cs="仿宋_GB2312"/>
          <w:b/>
          <w:bCs/>
          <w:sz w:val="32"/>
          <w:szCs w:val="32"/>
        </w:rPr>
        <w:t>五是信息科技支撑力度相对不足。</w:t>
      </w:r>
      <w:r>
        <w:rPr>
          <w:rFonts w:hint="eastAsia" w:ascii="仿宋_GB2312" w:hAnsi="仿宋_GB2312" w:eastAsia="仿宋_GB2312" w:cs="仿宋_GB2312"/>
          <w:sz w:val="32"/>
          <w:szCs w:val="32"/>
        </w:rPr>
        <w:t>涵盖安全生产、自然灾害以及城区安全运行的监测预警信息化应用平台尚未建立，无法满足“大安全、大应急”发展要求，城区 公共安全综合监测、风险评估、态势分析和智能预警能力有待提高。</w:t>
      </w:r>
      <w:r>
        <w:rPr>
          <w:rFonts w:hint="eastAsia" w:ascii="仿宋_GB2312" w:hAnsi="仿宋_GB2312" w:eastAsia="仿宋_GB2312" w:cs="仿宋_GB2312"/>
          <w:b/>
          <w:bCs/>
          <w:sz w:val="32"/>
          <w:szCs w:val="32"/>
        </w:rPr>
        <w:t>六是社会公众安全素养有待提高。</w:t>
      </w:r>
      <w:r>
        <w:rPr>
          <w:rFonts w:hint="eastAsia" w:ascii="仿宋_GB2312" w:hAnsi="仿宋_GB2312" w:eastAsia="仿宋_GB2312" w:cs="仿宋_GB2312"/>
          <w:sz w:val="32"/>
          <w:szCs w:val="32"/>
        </w:rPr>
        <w:t>企业安全培训和考核不落实、不到位，存在走过场、走形式等问题，安全职业教育重视不够， 从业人员安全意识和技能得不到有效提高。现有社会安全宣教力度不足、连续性不够，宣传效果不佳，公众整体安全意识比较淡薄，自防自救能力欠缺。</w:t>
      </w:r>
    </w:p>
    <w:p>
      <w:pPr>
        <w:pStyle w:val="2"/>
        <w:snapToGrid w:val="0"/>
        <w:spacing w:before="120" w:after="120" w:line="300" w:lineRule="auto"/>
        <w:ind w:firstLine="643" w:firstLineChars="200"/>
        <w:jc w:val="left"/>
        <w:rPr>
          <w:rFonts w:eastAsia="黑体"/>
          <w:lang w:bidi="zh-TW"/>
        </w:rPr>
      </w:pPr>
      <w:bookmarkStart w:id="29" w:name="_Toc40887588"/>
      <w:bookmarkStart w:id="30" w:name="_Toc31784"/>
      <w:bookmarkStart w:id="31" w:name="_Toc12290"/>
      <w:bookmarkStart w:id="32" w:name="_Toc28651"/>
      <w:bookmarkStart w:id="33" w:name="_Toc7160"/>
      <w:bookmarkStart w:id="34" w:name="_Toc2323"/>
      <w:bookmarkStart w:id="35" w:name="_Toc32752"/>
      <w:bookmarkStart w:id="36" w:name="_Toc28388"/>
      <w:bookmarkStart w:id="37" w:name="_Toc72248578"/>
      <w:bookmarkStart w:id="38" w:name="_Toc29887"/>
      <w:bookmarkStart w:id="39" w:name="_Toc88430409"/>
      <w:bookmarkStart w:id="40" w:name="_Toc6624"/>
      <w:r>
        <w:rPr>
          <w:rFonts w:hint="eastAsia" w:eastAsia="黑体"/>
          <w:lang w:bidi="zh-TW"/>
        </w:rPr>
        <w:t>二、</w:t>
      </w:r>
      <w:bookmarkEnd w:id="29"/>
      <w:r>
        <w:rPr>
          <w:rFonts w:hint="eastAsia" w:eastAsia="黑体"/>
          <w:lang w:bidi="zh-TW"/>
        </w:rPr>
        <w:t>指导思想与发展目标</w:t>
      </w:r>
      <w:bookmarkEnd w:id="30"/>
      <w:bookmarkEnd w:id="31"/>
      <w:bookmarkEnd w:id="32"/>
      <w:bookmarkEnd w:id="33"/>
      <w:bookmarkEnd w:id="34"/>
      <w:bookmarkEnd w:id="35"/>
      <w:bookmarkEnd w:id="36"/>
      <w:bookmarkEnd w:id="37"/>
      <w:bookmarkEnd w:id="38"/>
      <w:bookmarkEnd w:id="39"/>
      <w:bookmarkEnd w:id="40"/>
      <w:bookmarkStart w:id="41" w:name="_Toc31044"/>
      <w:bookmarkStart w:id="42" w:name="_Toc20855"/>
      <w:bookmarkStart w:id="43" w:name="_Toc30722"/>
      <w:bookmarkStart w:id="44" w:name="_Toc40887589"/>
      <w:bookmarkStart w:id="45" w:name="_Toc72248579"/>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46" w:name="_Toc31193"/>
      <w:bookmarkStart w:id="47" w:name="_Toc12239"/>
      <w:bookmarkStart w:id="48" w:name="_Toc5647"/>
      <w:bookmarkStart w:id="49" w:name="_Toc13637"/>
      <w:bookmarkStart w:id="50" w:name="_Toc16648"/>
      <w:bookmarkStart w:id="51" w:name="_Toc8055"/>
      <w:bookmarkStart w:id="52" w:name="_Toc88430410"/>
      <w:r>
        <w:rPr>
          <w:rFonts w:hint="eastAsia" w:ascii="Times New Roman" w:hAnsi="Times New Roman" w:eastAsia="楷体" w:cs="Times New Roman"/>
          <w:bCs w:val="0"/>
          <w:lang w:eastAsia="zh-CN"/>
        </w:rPr>
        <w:t>（一）指导思想</w:t>
      </w:r>
      <w:bookmarkEnd w:id="41"/>
      <w:bookmarkEnd w:id="42"/>
      <w:bookmarkEnd w:id="43"/>
      <w:bookmarkEnd w:id="44"/>
      <w:bookmarkEnd w:id="45"/>
      <w:bookmarkEnd w:id="46"/>
      <w:bookmarkEnd w:id="47"/>
      <w:bookmarkEnd w:id="48"/>
      <w:bookmarkEnd w:id="49"/>
      <w:bookmarkEnd w:id="50"/>
      <w:bookmarkEnd w:id="51"/>
      <w:bookmarkEnd w:id="52"/>
    </w:p>
    <w:p>
      <w:pPr>
        <w:pStyle w:val="18"/>
        <w:snapToGrid w:val="0"/>
        <w:spacing w:line="300" w:lineRule="auto"/>
        <w:ind w:firstLine="640"/>
        <w:rPr>
          <w:rFonts w:ascii="仿宋_GB2312" w:hAnsi="仿宋_GB2312" w:eastAsia="仿宋_GB2312" w:cs="仿宋_GB2312"/>
          <w:color w:val="auto"/>
          <w:sz w:val="32"/>
          <w:szCs w:val="32"/>
        </w:rPr>
      </w:pPr>
      <w:r>
        <w:rPr>
          <w:rFonts w:ascii="仿宋_GB2312" w:hAnsi="仿宋_GB2312" w:eastAsia="仿宋_GB2312" w:cs="仿宋_GB2312"/>
          <w:sz w:val="32"/>
          <w:szCs w:val="32"/>
        </w:rPr>
        <w:t>高举习近平新时代中国特色社会主义思想伟大旗帜，深入贯彻党的十九大和十九届二中、三中、四中、五中</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rPr>
        <w:t>六中</w:t>
      </w:r>
      <w:r>
        <w:rPr>
          <w:rFonts w:ascii="仿宋_GB2312" w:hAnsi="仿宋_GB2312" w:eastAsia="仿宋_GB2312" w:cs="仿宋_GB2312"/>
          <w:color w:val="auto"/>
          <w:sz w:val="32"/>
          <w:szCs w:val="32"/>
        </w:rPr>
        <w:t>全</w:t>
      </w:r>
      <w:r>
        <w:rPr>
          <w:rFonts w:ascii="仿宋_GB2312" w:hAnsi="仿宋_GB2312" w:eastAsia="仿宋_GB2312" w:cs="仿宋_GB2312"/>
          <w:sz w:val="32"/>
          <w:szCs w:val="32"/>
        </w:rPr>
        <w:t>会精神</w:t>
      </w:r>
      <w:r>
        <w:rPr>
          <w:rFonts w:hint="eastAsia" w:ascii="仿宋_GB2312" w:hAnsi="仿宋_GB2312" w:eastAsia="仿宋_GB2312" w:cs="仿宋_GB2312"/>
          <w:sz w:val="32"/>
          <w:szCs w:val="32"/>
        </w:rPr>
        <w:t>，紧紧围绕“五位一体”总体布局和“四个全面”战略布局，</w:t>
      </w:r>
      <w:r>
        <w:rPr>
          <w:rFonts w:ascii="仿宋_GB2312" w:hAnsi="仿宋_GB2312" w:eastAsia="仿宋_GB2312" w:cs="仿宋_GB2312"/>
          <w:sz w:val="32"/>
          <w:szCs w:val="32"/>
        </w:rPr>
        <w:t>忠实践行“八八战略”</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奋力打造“重要窗口”</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接续实施“八大战役”</w:t>
      </w:r>
      <w:r>
        <w:rPr>
          <w:rFonts w:hint="eastAsia" w:ascii="仿宋_GB2312" w:hAnsi="仿宋_GB2312" w:eastAsia="仿宋_GB2312" w:cs="仿宋_GB2312"/>
          <w:sz w:val="32"/>
          <w:szCs w:val="32"/>
        </w:rPr>
        <w:t>， 统筹发展和安全，以构建“大安全、大应急、大减灾”应急体系为出发点，坚持“底线思维”、树立“红线意识”，切实担负起“促一方发展、保一方平安”的政治责任，以改革创新为动力，以基层基础建设为保障，着力建机制、补短板、强能力、促协同，加快形成具有遂昌特色的应急管理新格局，</w:t>
      </w:r>
      <w:r>
        <w:rPr>
          <w:rFonts w:hint="eastAsia" w:ascii="仿宋_GB2312" w:hAnsi="仿宋_GB2312" w:eastAsia="仿宋_GB2312" w:cs="仿宋_GB2312"/>
          <w:color w:val="auto"/>
          <w:sz w:val="32"/>
          <w:szCs w:val="32"/>
        </w:rPr>
        <w:t>为</w:t>
      </w:r>
      <w:r>
        <w:rPr>
          <w:rFonts w:ascii="仿宋_GB2312" w:hAnsi="仿宋_GB2312" w:eastAsia="仿宋_GB2312" w:cs="仿宋_GB2312"/>
          <w:color w:val="auto"/>
          <w:sz w:val="32"/>
          <w:szCs w:val="32"/>
        </w:rPr>
        <w:t>深入推进“一城五区”生产力布局</w:t>
      </w: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奋力跑出跨越式高质量发展加速度</w:t>
      </w: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全力打造山区县“最美生态、数字引领、跨越发展、向往之地”深度融合的共同富裕先行样板</w:t>
      </w:r>
      <w:r>
        <w:rPr>
          <w:rFonts w:hint="eastAsia" w:ascii="仿宋_GB2312" w:hAnsi="仿宋_GB2312" w:eastAsia="仿宋_GB2312" w:cs="仿宋_GB2312"/>
          <w:color w:val="auto"/>
          <w:sz w:val="32"/>
          <w:szCs w:val="32"/>
        </w:rPr>
        <w:t>立根</w:t>
      </w:r>
      <w:r>
        <w:rPr>
          <w:rFonts w:ascii="仿宋_GB2312" w:hAnsi="仿宋_GB2312" w:eastAsia="仿宋_GB2312" w:cs="仿宋_GB2312"/>
          <w:color w:val="auto"/>
          <w:sz w:val="32"/>
          <w:szCs w:val="32"/>
        </w:rPr>
        <w:t>赋能</w:t>
      </w:r>
      <w:r>
        <w:rPr>
          <w:rFonts w:hint="eastAsia" w:ascii="仿宋_GB2312" w:hAnsi="仿宋_GB2312" w:eastAsia="仿宋_GB2312" w:cs="仿宋_GB2312"/>
          <w:color w:val="auto"/>
          <w:sz w:val="32"/>
          <w:szCs w:val="32"/>
        </w:rPr>
        <w:t>。</w:t>
      </w:r>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53" w:name="_Toc31547"/>
      <w:bookmarkStart w:id="54" w:name="_Toc8088"/>
      <w:bookmarkStart w:id="55" w:name="_Toc15372"/>
      <w:bookmarkStart w:id="56" w:name="_Toc16970"/>
      <w:bookmarkStart w:id="57" w:name="_Toc9914"/>
      <w:bookmarkStart w:id="58" w:name="_Toc4554"/>
      <w:bookmarkStart w:id="59" w:name="_Toc20149"/>
      <w:bookmarkStart w:id="60" w:name="_Toc40887590"/>
      <w:bookmarkStart w:id="61" w:name="_Toc31760"/>
      <w:bookmarkStart w:id="62" w:name="_Toc6681"/>
      <w:bookmarkStart w:id="63" w:name="_Toc88430411"/>
      <w:bookmarkStart w:id="64" w:name="_Toc72248580"/>
      <w:r>
        <w:rPr>
          <w:rFonts w:hint="eastAsia" w:ascii="Times New Roman" w:hAnsi="Times New Roman" w:eastAsia="楷体" w:cs="Times New Roman"/>
          <w:bCs w:val="0"/>
          <w:lang w:eastAsia="zh-CN"/>
        </w:rPr>
        <w:t>（二）基本原则</w:t>
      </w:r>
      <w:bookmarkEnd w:id="53"/>
      <w:bookmarkEnd w:id="54"/>
      <w:bookmarkEnd w:id="55"/>
      <w:bookmarkEnd w:id="56"/>
      <w:bookmarkEnd w:id="57"/>
      <w:bookmarkEnd w:id="58"/>
      <w:bookmarkEnd w:id="59"/>
      <w:bookmarkEnd w:id="60"/>
      <w:bookmarkEnd w:id="61"/>
      <w:bookmarkEnd w:id="62"/>
      <w:bookmarkEnd w:id="63"/>
      <w:bookmarkEnd w:id="64"/>
    </w:p>
    <w:p>
      <w:pPr>
        <w:pStyle w:val="18"/>
        <w:snapToGrid w:val="0"/>
        <w:spacing w:line="300" w:lineRule="auto"/>
        <w:ind w:firstLine="630" w:firstLineChars="196"/>
        <w:rPr>
          <w:rFonts w:ascii="仿宋_GB2312" w:hAnsi="仿宋_GB2312" w:eastAsia="仿宋_GB2312" w:cs="仿宋_GB2312"/>
          <w:sz w:val="32"/>
          <w:szCs w:val="32"/>
        </w:rPr>
      </w:pPr>
      <w:r>
        <w:rPr>
          <w:rFonts w:hint="eastAsia" w:ascii="仿宋_GB2312" w:hAnsi="仿宋_GB2312" w:eastAsia="仿宋_GB2312" w:cs="仿宋_GB2312"/>
          <w:b/>
          <w:bCs/>
          <w:sz w:val="32"/>
          <w:szCs w:val="32"/>
          <w:lang w:bidi="ar"/>
        </w:rPr>
        <w:t>坚持</w:t>
      </w:r>
      <w:r>
        <w:rPr>
          <w:rFonts w:hint="eastAsia" w:ascii="仿宋_GB2312" w:hAnsi="仿宋_GB2312" w:eastAsia="仿宋_GB2312" w:cs="仿宋_GB2312"/>
          <w:b/>
          <w:bCs/>
          <w:sz w:val="32"/>
          <w:szCs w:val="32"/>
        </w:rPr>
        <w:t>生命至上，安全发展。</w:t>
      </w:r>
      <w:r>
        <w:rPr>
          <w:rFonts w:hint="eastAsia" w:ascii="仿宋_GB2312" w:hAnsi="仿宋_GB2312" w:eastAsia="仿宋_GB2312" w:cs="仿宋_GB2312"/>
          <w:sz w:val="32"/>
          <w:szCs w:val="32"/>
        </w:rPr>
        <w:t>坚持以人民为中心的发展思想，牢固树立安全发展理念，切实把保护人民群众生命财产安全作为应急管理一切工作的出发点和落脚点，着力防范化解重大安全风险，提升安全保障能力。</w:t>
      </w:r>
    </w:p>
    <w:p>
      <w:pPr>
        <w:pStyle w:val="18"/>
        <w:snapToGrid w:val="0"/>
        <w:spacing w:line="300" w:lineRule="auto"/>
        <w:ind w:firstLine="640"/>
        <w:rPr>
          <w:rFonts w:ascii="仿宋_GB2312" w:hAnsi="仿宋_GB2312" w:eastAsia="仿宋_GB2312" w:cs="仿宋_GB2312"/>
          <w:b/>
          <w:bCs/>
          <w:sz w:val="32"/>
          <w:szCs w:val="32"/>
        </w:rPr>
      </w:pPr>
      <w:r>
        <w:rPr>
          <w:rFonts w:hint="eastAsia" w:ascii="仿宋_GB2312" w:eastAsia="仿宋_GB2312"/>
          <w:b/>
          <w:bCs/>
          <w:snapToGrid w:val="0"/>
          <w:color w:val="000000"/>
          <w:sz w:val="32"/>
          <w:szCs w:val="32"/>
        </w:rPr>
        <w:t>坚持</w:t>
      </w:r>
      <w:r>
        <w:rPr>
          <w:rFonts w:ascii="仿宋_GB2312" w:eastAsia="仿宋_GB2312"/>
          <w:b/>
          <w:bCs/>
          <w:snapToGrid w:val="0"/>
          <w:color w:val="000000"/>
          <w:sz w:val="32"/>
          <w:szCs w:val="32"/>
        </w:rPr>
        <w:t>政治引领、服务大局。</w:t>
      </w:r>
      <w:r>
        <w:rPr>
          <w:rFonts w:hint="eastAsia" w:ascii="仿宋_GB2312" w:eastAsia="仿宋_GB2312"/>
          <w:snapToGrid w:val="0"/>
          <w:color w:val="000000"/>
          <w:sz w:val="32"/>
          <w:szCs w:val="32"/>
        </w:rPr>
        <w:t>全面加强党对应急管理工作的领导，把党的领导贯穿到应急管理工作的各方面和全过程，把党的政治优势、组织优势和社会主义集中力量办大事的体制优势转化为推进应急管理体系和能力现代化的强大动力和坚强保障。</w:t>
      </w:r>
    </w:p>
    <w:p>
      <w:pPr>
        <w:pStyle w:val="18"/>
        <w:snapToGrid w:val="0"/>
        <w:spacing w:line="300" w:lineRule="auto"/>
        <w:ind w:firstLine="630" w:firstLineChars="196"/>
        <w:rPr>
          <w:rFonts w:ascii="仿宋_GB2312" w:hAnsi="仿宋_GB2312" w:eastAsia="仿宋_GB2312" w:cs="仿宋_GB2312"/>
          <w:sz w:val="32"/>
          <w:szCs w:val="32"/>
        </w:rPr>
      </w:pPr>
      <w:r>
        <w:rPr>
          <w:rFonts w:hint="eastAsia" w:ascii="仿宋_GB2312" w:hAnsi="仿宋_GB2312" w:eastAsia="仿宋_GB2312" w:cs="仿宋_GB2312"/>
          <w:b/>
          <w:bCs/>
          <w:sz w:val="32"/>
          <w:szCs w:val="32"/>
          <w:lang w:bidi="ar"/>
        </w:rPr>
        <w:t>坚持</w:t>
      </w:r>
      <w:r>
        <w:rPr>
          <w:rFonts w:hint="eastAsia" w:ascii="仿宋_GB2312" w:hAnsi="仿宋_GB2312" w:eastAsia="仿宋_GB2312" w:cs="仿宋_GB2312"/>
          <w:b/>
          <w:bCs/>
          <w:sz w:val="32"/>
          <w:szCs w:val="32"/>
        </w:rPr>
        <w:t>预防为主，系统治理。</w:t>
      </w:r>
      <w:r>
        <w:rPr>
          <w:rFonts w:hint="eastAsia" w:ascii="仿宋_GB2312" w:hAnsi="仿宋_GB2312" w:eastAsia="仿宋_GB2312" w:cs="仿宋_GB2312"/>
          <w:sz w:val="32"/>
          <w:szCs w:val="32"/>
        </w:rPr>
        <w:t>坚持以防为主，防抗救相结合，坚持常态减灾和非常态减灾相统一，努力实现从注重灾后救助向灾前预防转变，从应对单一灾种向综合减灾转变，从减少灾害损失向减轻灾害风险转变，全面提升全社会抵御事故灾害的综合防范能力。</w:t>
      </w:r>
    </w:p>
    <w:p>
      <w:pPr>
        <w:pStyle w:val="18"/>
        <w:snapToGrid w:val="0"/>
        <w:spacing w:line="300" w:lineRule="auto"/>
        <w:ind w:firstLine="630" w:firstLineChars="196"/>
        <w:rPr>
          <w:rFonts w:ascii="仿宋_GB2312" w:hAnsi="仿宋_GB2312" w:eastAsia="仿宋_GB2312" w:cs="仿宋_GB2312"/>
          <w:sz w:val="32"/>
          <w:szCs w:val="32"/>
        </w:rPr>
      </w:pPr>
      <w:r>
        <w:rPr>
          <w:rFonts w:hint="eastAsia" w:ascii="仿宋_GB2312" w:hAnsi="仿宋_GB2312" w:eastAsia="仿宋_GB2312" w:cs="仿宋_GB2312"/>
          <w:b/>
          <w:bCs/>
          <w:sz w:val="32"/>
          <w:szCs w:val="32"/>
          <w:lang w:bidi="ar"/>
        </w:rPr>
        <w:t>坚持</w:t>
      </w:r>
      <w:r>
        <w:rPr>
          <w:rFonts w:ascii="仿宋_GB2312" w:hAnsi="仿宋_GB2312" w:eastAsia="仿宋_GB2312" w:cs="仿宋_GB2312"/>
          <w:b/>
          <w:bCs/>
          <w:sz w:val="32"/>
          <w:szCs w:val="32"/>
        </w:rPr>
        <w:t>政府主导</w:t>
      </w:r>
      <w:r>
        <w:rPr>
          <w:rFonts w:hint="eastAsia" w:ascii="仿宋_GB2312" w:hAnsi="仿宋_GB2312" w:eastAsia="仿宋_GB2312" w:cs="仿宋_GB2312"/>
          <w:b/>
          <w:bCs/>
          <w:sz w:val="32"/>
          <w:szCs w:val="32"/>
        </w:rPr>
        <w:t>，社会协同。</w:t>
      </w:r>
      <w:r>
        <w:rPr>
          <w:rFonts w:hint="eastAsia" w:ascii="仿宋_GB2312" w:hAnsi="仿宋_GB2312" w:eastAsia="仿宋_GB2312" w:cs="仿宋_GB2312"/>
          <w:sz w:val="32"/>
          <w:szCs w:val="32"/>
        </w:rPr>
        <w:t>努力建设应急管理部门统筹协调，行业主管部门依法治理，社会群防群治共享的工作格局，筑牢防灾减灾救灾的人民防线。</w:t>
      </w:r>
    </w:p>
    <w:p>
      <w:pPr>
        <w:pStyle w:val="18"/>
        <w:snapToGrid w:val="0"/>
        <w:spacing w:line="300" w:lineRule="auto"/>
        <w:ind w:firstLine="630" w:firstLineChars="196"/>
        <w:rPr>
          <w:rFonts w:ascii="仿宋_GB2312" w:hAnsi="仿宋_GB2312" w:eastAsia="仿宋_GB2312" w:cs="仿宋_GB2312"/>
          <w:sz w:val="32"/>
          <w:szCs w:val="32"/>
        </w:rPr>
      </w:pPr>
      <w:r>
        <w:rPr>
          <w:rFonts w:hint="eastAsia" w:ascii="仿宋_GB2312" w:hAnsi="仿宋_GB2312" w:eastAsia="仿宋_GB2312" w:cs="仿宋_GB2312"/>
          <w:b/>
          <w:bCs/>
          <w:sz w:val="32"/>
          <w:szCs w:val="32"/>
          <w:lang w:bidi="ar"/>
        </w:rPr>
        <w:t>坚持</w:t>
      </w:r>
      <w:r>
        <w:rPr>
          <w:rFonts w:hint="eastAsia" w:ascii="仿宋_GB2312" w:hAnsi="仿宋_GB2312" w:eastAsia="仿宋_GB2312" w:cs="仿宋_GB2312"/>
          <w:b/>
          <w:bCs/>
          <w:sz w:val="32"/>
          <w:szCs w:val="32"/>
        </w:rPr>
        <w:t>科技支撑，改革创新。</w:t>
      </w:r>
      <w:r>
        <w:rPr>
          <w:rFonts w:hint="eastAsia" w:ascii="仿宋_GB2312" w:hAnsi="仿宋_GB2312" w:eastAsia="仿宋_GB2312" w:cs="仿宋_GB2312"/>
          <w:sz w:val="32"/>
          <w:szCs w:val="32"/>
        </w:rPr>
        <w:t>积极探索新时代新路径新方法，创新应急管理新模式，推进应急管理体制机制改革，依靠信息化技术提高应急管理科学化、专业化、智能化、精准化水平。</w:t>
      </w:r>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65" w:name="_Toc15855"/>
      <w:bookmarkStart w:id="66" w:name="_Toc72248581"/>
      <w:bookmarkStart w:id="67" w:name="_Toc29703"/>
      <w:bookmarkStart w:id="68" w:name="_Toc1821"/>
      <w:bookmarkStart w:id="69" w:name="_Toc30253"/>
      <w:bookmarkStart w:id="70" w:name="_Toc14540"/>
      <w:bookmarkStart w:id="71" w:name="_Toc10266"/>
      <w:bookmarkStart w:id="72" w:name="_Toc24968"/>
      <w:bookmarkStart w:id="73" w:name="_Toc40887591"/>
      <w:bookmarkStart w:id="74" w:name="_Toc31420"/>
      <w:bookmarkStart w:id="75" w:name="_Toc88430412"/>
      <w:bookmarkStart w:id="76" w:name="_Toc6666"/>
      <w:r>
        <w:rPr>
          <w:rFonts w:hint="eastAsia" w:ascii="Times New Roman" w:hAnsi="Times New Roman" w:eastAsia="楷体" w:cs="Times New Roman"/>
          <w:bCs w:val="0"/>
          <w:lang w:eastAsia="zh-CN"/>
        </w:rPr>
        <w:t>（三）发展目标</w:t>
      </w:r>
      <w:bookmarkEnd w:id="65"/>
      <w:bookmarkEnd w:id="66"/>
      <w:bookmarkEnd w:id="67"/>
      <w:bookmarkEnd w:id="68"/>
      <w:bookmarkEnd w:id="69"/>
      <w:bookmarkEnd w:id="70"/>
      <w:bookmarkEnd w:id="71"/>
      <w:bookmarkEnd w:id="72"/>
      <w:bookmarkEnd w:id="73"/>
      <w:bookmarkEnd w:id="74"/>
      <w:bookmarkEnd w:id="75"/>
      <w:bookmarkEnd w:id="76"/>
    </w:p>
    <w:p>
      <w:pPr>
        <w:snapToGrid w:val="0"/>
        <w:spacing w:line="300" w:lineRule="auto"/>
        <w:ind w:firstLine="640" w:firstLineChars="200"/>
        <w:rPr>
          <w:rFonts w:ascii="仿宋_GB2312" w:hAnsi="仿宋_GB2312" w:eastAsia="仿宋_GB2312" w:cs="仿宋_GB2312"/>
          <w:snapToGrid w:val="0"/>
          <w:sz w:val="32"/>
          <w:szCs w:val="32"/>
        </w:rPr>
      </w:pPr>
      <w:r>
        <w:rPr>
          <w:rFonts w:hint="eastAsia" w:ascii="仿宋_GB2312" w:hAnsi="仿宋_GB2312" w:eastAsia="仿宋_GB2312" w:cs="仿宋_GB2312"/>
          <w:snapToGrid w:val="0"/>
          <w:sz w:val="32"/>
          <w:szCs w:val="32"/>
        </w:rPr>
        <w:t>到 2025 年，应急管理系统性、整体性、协同性显著增强，应急管理责任链条有效衔接，防范化解重大安全风险机制不断健全，灾害事故防治基础全面夯实，应急救援能力显著提升，社会公众风险观念和安全感持续加强，自然灾害防治能力进一步提高，统一指挥、专常兼备、反应灵敏、上下联动的应急管理体制全面建成；统一领导、权责一致、权威高效的应急管理体系和能力现代化基本实现。指标体系见专栏1。</w:t>
      </w:r>
    </w:p>
    <w:tbl>
      <w:tblPr>
        <w:tblStyle w:val="23"/>
        <w:tblW w:w="5000"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939"/>
        <w:gridCol w:w="706"/>
        <w:gridCol w:w="2700"/>
        <w:gridCol w:w="1940"/>
        <w:gridCol w:w="1492"/>
        <w:gridCol w:w="134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5000" w:type="pct"/>
            <w:gridSpan w:val="6"/>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黑体" w:cs="Times New Roman"/>
                <w:bCs/>
                <w:caps/>
                <w:sz w:val="28"/>
                <w:szCs w:val="28"/>
              </w:rPr>
            </w:pPr>
            <w:r>
              <w:rPr>
                <w:rFonts w:ascii="Times New Roman" w:hAnsi="Times New Roman" w:eastAsia="黑体" w:cs="Times New Roman"/>
                <w:bCs/>
                <w:caps/>
                <w:sz w:val="28"/>
                <w:szCs w:val="28"/>
              </w:rPr>
              <w:t>专栏</w:t>
            </w:r>
            <w:r>
              <w:rPr>
                <w:rFonts w:hint="eastAsia" w:ascii="Times New Roman" w:hAnsi="Times New Roman" w:eastAsia="黑体" w:cs="Times New Roman"/>
                <w:bCs/>
                <w:caps/>
                <w:sz w:val="28"/>
                <w:szCs w:val="28"/>
              </w:rPr>
              <w:t xml:space="preserve">1  </w:t>
            </w:r>
            <w:r>
              <w:rPr>
                <w:rFonts w:ascii="Times New Roman" w:hAnsi="Times New Roman" w:eastAsia="黑体" w:cs="Times New Roman"/>
                <w:bCs/>
                <w:caps/>
                <w:sz w:val="28"/>
                <w:szCs w:val="28"/>
              </w:rPr>
              <w:t xml:space="preserve"> </w:t>
            </w:r>
            <w:r>
              <w:rPr>
                <w:rFonts w:hint="eastAsia" w:ascii="Times New Roman" w:hAnsi="Times New Roman" w:eastAsia="黑体" w:cs="Times New Roman"/>
                <w:bCs/>
                <w:caps/>
                <w:sz w:val="28"/>
                <w:szCs w:val="28"/>
              </w:rPr>
              <w:t>遂昌县</w:t>
            </w:r>
            <w:r>
              <w:rPr>
                <w:rFonts w:ascii="Times New Roman" w:hAnsi="Times New Roman" w:eastAsia="黑体" w:cs="Times New Roman"/>
                <w:bCs/>
                <w:caps/>
                <w:sz w:val="28"/>
                <w:szCs w:val="28"/>
              </w:rPr>
              <w:t>应急管理“十四五”规划指标体系</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01" w:hRule="atLeast"/>
          <w:jc w:val="center"/>
        </w:trPr>
        <w:tc>
          <w:tcPr>
            <w:tcW w:w="515"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cs="Times New Roman"/>
                <w:b/>
              </w:rPr>
            </w:pPr>
            <w:r>
              <w:rPr>
                <w:rFonts w:hint="eastAsia" w:ascii="Times New Roman" w:hAnsi="Times New Roman" w:eastAsia="仿宋_GB2312" w:cs="Times New Roman"/>
                <w:b/>
              </w:rPr>
              <w:t>类别</w:t>
            </w:r>
          </w:p>
        </w:tc>
        <w:tc>
          <w:tcPr>
            <w:tcW w:w="387"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b/>
              </w:rPr>
            </w:pPr>
            <w:r>
              <w:rPr>
                <w:rFonts w:ascii="Times New Roman" w:hAnsi="Times New Roman" w:eastAsia="仿宋_GB2312" w:cs="Times New Roman"/>
                <w:b/>
              </w:rPr>
              <w:t>序号</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b/>
              </w:rPr>
            </w:pPr>
            <w:r>
              <w:rPr>
                <w:rFonts w:ascii="Times New Roman" w:hAnsi="Times New Roman" w:eastAsia="仿宋_GB2312" w:cs="Times New Roman"/>
                <w:b/>
              </w:rPr>
              <w:t>指标</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b/>
              </w:rPr>
            </w:pPr>
            <w:r>
              <w:rPr>
                <w:rFonts w:ascii="Times New Roman" w:hAnsi="Times New Roman" w:eastAsia="仿宋_GB2312" w:cs="Times New Roman"/>
                <w:b/>
              </w:rPr>
              <w:t>2025年目标值</w:t>
            </w:r>
          </w:p>
        </w:tc>
        <w:tc>
          <w:tcPr>
            <w:tcW w:w="818"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b/>
              </w:rPr>
            </w:pPr>
            <w:r>
              <w:rPr>
                <w:rFonts w:ascii="Times New Roman" w:hAnsi="Times New Roman" w:eastAsia="仿宋_GB2312" w:cs="Times New Roman"/>
                <w:b/>
              </w:rPr>
              <w:t>指标属性</w:t>
            </w:r>
          </w:p>
        </w:tc>
        <w:tc>
          <w:tcPr>
            <w:tcW w:w="735" w:type="pct"/>
            <w:tcBorders>
              <w:bottom w:val="single" w:color="auto" w:sz="4" w:space="0"/>
            </w:tcBorders>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b/>
              </w:rPr>
            </w:pPr>
            <w:r>
              <w:rPr>
                <w:rFonts w:ascii="Times New Roman" w:hAnsi="Times New Roman" w:eastAsia="仿宋_GB2312" w:cs="Times New Roman"/>
                <w:b/>
              </w:rPr>
              <w:t>责任部门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69" w:hRule="atLeast"/>
          <w:jc w:val="center"/>
        </w:trPr>
        <w:tc>
          <w:tcPr>
            <w:tcW w:w="515" w:type="pct"/>
            <w:vMerge w:val="restar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安全</w:t>
            </w:r>
          </w:p>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生产</w:t>
            </w: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rPr>
            </w:pPr>
            <w:r>
              <w:rPr>
                <w:rFonts w:ascii="Times New Roman" w:hAnsi="Times New Roman" w:eastAsia="仿宋_GB2312" w:cs="Times New Roman"/>
              </w:rPr>
              <w:t>1</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snapToGrid w:val="0"/>
              </w:rPr>
              <w:t>生产安全事故起数</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下降35%</w:t>
            </w:r>
          </w:p>
        </w:tc>
        <w:tc>
          <w:tcPr>
            <w:tcW w:w="818" w:type="pct"/>
            <w:tcBorders>
              <w:right w:val="single" w:color="auto" w:sz="4" w:space="0"/>
            </w:tcBorders>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约束性</w:t>
            </w:r>
          </w:p>
        </w:tc>
        <w:tc>
          <w:tcPr>
            <w:tcW w:w="735" w:type="pct"/>
            <w:vMerge w:val="restart"/>
            <w:tcBorders>
              <w:top w:val="single" w:color="auto" w:sz="4" w:space="0"/>
              <w:left w:val="single" w:color="auto" w:sz="4" w:space="0"/>
              <w:bottom w:val="nil"/>
              <w:right w:val="single" w:color="auto" w:sz="4" w:space="0"/>
            </w:tcBorders>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hint="eastAsia" w:ascii="Times New Roman" w:hAnsi="Times New Roman" w:eastAsia="仿宋_GB2312" w:cs="Times New Roman"/>
              </w:rPr>
              <w:t>县</w:t>
            </w:r>
            <w:r>
              <w:rPr>
                <w:rFonts w:ascii="Times New Roman" w:hAnsi="Times New Roman" w:eastAsia="仿宋_GB2312" w:cs="Times New Roman"/>
              </w:rPr>
              <w:t>应急管理局</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1" w:hRule="atLeast"/>
          <w:jc w:val="center"/>
        </w:trPr>
        <w:tc>
          <w:tcPr>
            <w:tcW w:w="515" w:type="pct"/>
            <w:vMerge w:val="continue"/>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rPr>
            </w:pPr>
            <w:r>
              <w:rPr>
                <w:rFonts w:ascii="Times New Roman" w:hAnsi="Times New Roman" w:eastAsia="仿宋_GB2312" w:cs="Times New Roman"/>
              </w:rPr>
              <w:t>2</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snapToGrid w:val="0"/>
              </w:rPr>
              <w:t>生产安全事故死亡人数</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下降35%</w:t>
            </w:r>
          </w:p>
        </w:tc>
        <w:tc>
          <w:tcPr>
            <w:tcW w:w="818" w:type="pct"/>
            <w:tcBorders>
              <w:right w:val="single" w:color="auto" w:sz="4" w:space="0"/>
            </w:tcBorders>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约束性</w:t>
            </w:r>
          </w:p>
        </w:tc>
        <w:tc>
          <w:tcPr>
            <w:tcW w:w="735" w:type="pct"/>
            <w:vMerge w:val="continue"/>
            <w:tcBorders>
              <w:top w:val="single" w:color="auto" w:sz="4" w:space="0"/>
              <w:left w:val="single" w:color="auto" w:sz="4" w:space="0"/>
              <w:bottom w:val="nil"/>
              <w:right w:val="single" w:color="auto" w:sz="4" w:space="0"/>
            </w:tcBorders>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515" w:type="pct"/>
            <w:vMerge w:val="continue"/>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rPr>
            </w:pPr>
            <w:r>
              <w:rPr>
                <w:rFonts w:ascii="Times New Roman" w:hAnsi="Times New Roman" w:eastAsia="仿宋_GB2312" w:cs="Times New Roman"/>
              </w:rPr>
              <w:t>3</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snapToGrid w:val="0"/>
              </w:rPr>
              <w:t>亿元生产总值生产安全事故死亡率</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snapToGrid w:val="0"/>
              </w:rPr>
              <w:t>＜0.02</w:t>
            </w:r>
          </w:p>
        </w:tc>
        <w:tc>
          <w:tcPr>
            <w:tcW w:w="818" w:type="pct"/>
            <w:tcBorders>
              <w:right w:val="single" w:color="auto" w:sz="4" w:space="0"/>
            </w:tcBorders>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rPr>
              <w:t>约束性</w:t>
            </w:r>
          </w:p>
        </w:tc>
        <w:tc>
          <w:tcPr>
            <w:tcW w:w="735" w:type="pct"/>
            <w:vMerge w:val="continue"/>
            <w:tcBorders>
              <w:top w:val="single" w:color="auto" w:sz="4" w:space="0"/>
              <w:left w:val="single" w:color="auto" w:sz="4" w:space="0"/>
              <w:bottom w:val="nil"/>
              <w:right w:val="single" w:color="auto" w:sz="4" w:space="0"/>
            </w:tcBorders>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515" w:type="pct"/>
            <w:vMerge w:val="continue"/>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rPr>
            </w:pPr>
            <w:r>
              <w:rPr>
                <w:rFonts w:ascii="Times New Roman" w:hAnsi="Times New Roman" w:eastAsia="仿宋_GB2312" w:cs="Times New Roman"/>
              </w:rPr>
              <w:t>4</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snapToGrid w:val="0"/>
              </w:rPr>
              <w:t>工矿商贸就业人员十万人生产安全事故死亡率</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snapToGrid w:val="0"/>
              </w:rPr>
              <w:t>下降25%</w:t>
            </w:r>
          </w:p>
        </w:tc>
        <w:tc>
          <w:tcPr>
            <w:tcW w:w="818" w:type="pct"/>
            <w:tcBorders>
              <w:right w:val="single" w:color="auto" w:sz="4" w:space="0"/>
            </w:tcBorders>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rPr>
              <w:t>约束性</w:t>
            </w:r>
          </w:p>
        </w:tc>
        <w:tc>
          <w:tcPr>
            <w:tcW w:w="735" w:type="pct"/>
            <w:vMerge w:val="continue"/>
            <w:tcBorders>
              <w:top w:val="single" w:color="auto" w:sz="4" w:space="0"/>
              <w:left w:val="single" w:color="auto" w:sz="4" w:space="0"/>
              <w:bottom w:val="nil"/>
              <w:right w:val="single" w:color="auto" w:sz="4" w:space="0"/>
            </w:tcBorders>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13" w:hRule="atLeast"/>
          <w:jc w:val="center"/>
        </w:trPr>
        <w:tc>
          <w:tcPr>
            <w:tcW w:w="515" w:type="pct"/>
            <w:vMerge w:val="continue"/>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rPr>
            </w:pPr>
            <w:r>
              <w:rPr>
                <w:rFonts w:hint="eastAsia" w:ascii="Times New Roman" w:hAnsi="Times New Roman" w:eastAsia="仿宋_GB2312" w:cs="Times New Roman"/>
              </w:rPr>
              <w:t>5</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snapToGrid w:val="0"/>
                <w:color w:val="000000"/>
                <w:szCs w:val="21"/>
              </w:rPr>
              <w:t>危化品生产企业入园率</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hint="eastAsia" w:ascii="Times New Roman" w:hAnsi="Times New Roman" w:eastAsia="仿宋_GB2312" w:cs="Times New Roman"/>
                <w:snapToGrid w:val="0"/>
                <w:color w:val="auto"/>
                <w:szCs w:val="21"/>
              </w:rPr>
              <w:t>75%</w:t>
            </w:r>
          </w:p>
        </w:tc>
        <w:tc>
          <w:tcPr>
            <w:tcW w:w="818"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约束性</w:t>
            </w:r>
          </w:p>
        </w:tc>
        <w:tc>
          <w:tcPr>
            <w:tcW w:w="735" w:type="pct"/>
            <w:tcBorders>
              <w:top w:val="nil"/>
            </w:tcBorders>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586" w:hRule="atLeast"/>
          <w:jc w:val="center"/>
        </w:trPr>
        <w:tc>
          <w:tcPr>
            <w:tcW w:w="515" w:type="pct"/>
            <w:vMerge w:val="continue"/>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rPr>
            </w:pPr>
            <w:r>
              <w:rPr>
                <w:rFonts w:hint="eastAsia" w:ascii="Times New Roman" w:hAnsi="Times New Roman" w:eastAsia="仿宋_GB2312" w:cs="Times New Roman"/>
              </w:rPr>
              <w:t>6</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snapToGrid w:val="0"/>
              </w:rPr>
              <w:t>道路交通运营死亡率</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snapToGrid w:val="0"/>
              </w:rPr>
              <w:t>下降15%</w:t>
            </w:r>
          </w:p>
        </w:tc>
        <w:tc>
          <w:tcPr>
            <w:tcW w:w="818"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rPr>
              <w:t>约束性</w:t>
            </w:r>
          </w:p>
        </w:tc>
        <w:tc>
          <w:tcPr>
            <w:tcW w:w="735"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hint="eastAsia" w:ascii="Times New Roman" w:hAnsi="Times New Roman" w:eastAsia="仿宋_GB2312" w:cs="Times New Roman"/>
              </w:rPr>
              <w:t>县</w:t>
            </w:r>
            <w:r>
              <w:rPr>
                <w:rFonts w:ascii="Times New Roman" w:hAnsi="Times New Roman" w:eastAsia="仿宋_GB2312" w:cs="Times New Roman"/>
              </w:rPr>
              <w:t>公安局</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515" w:type="pct"/>
            <w:vMerge w:val="continue"/>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rPr>
            </w:pPr>
            <w:r>
              <w:rPr>
                <w:rFonts w:hint="eastAsia" w:ascii="Times New Roman" w:hAnsi="Times New Roman" w:eastAsia="仿宋_GB2312" w:cs="Times New Roman"/>
              </w:rPr>
              <w:t>7</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snapToGrid w:val="0"/>
              </w:rPr>
              <w:t>火灾十万人口死亡率</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snapToGrid w:val="0"/>
              </w:rPr>
              <w:t>＜0.047</w:t>
            </w:r>
          </w:p>
        </w:tc>
        <w:tc>
          <w:tcPr>
            <w:tcW w:w="818"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rPr>
              <w:t>约束性</w:t>
            </w:r>
          </w:p>
        </w:tc>
        <w:tc>
          <w:tcPr>
            <w:tcW w:w="735"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hint="eastAsia" w:ascii="Times New Roman" w:hAnsi="Times New Roman" w:eastAsia="仿宋_GB2312" w:cs="Times New Roman"/>
              </w:rPr>
              <w:t>县</w:t>
            </w:r>
            <w:r>
              <w:rPr>
                <w:rFonts w:ascii="Times New Roman" w:hAnsi="Times New Roman" w:eastAsia="仿宋_GB2312" w:cs="Times New Roman"/>
              </w:rPr>
              <w:t>消防救援</w:t>
            </w:r>
            <w:r>
              <w:rPr>
                <w:rFonts w:hint="eastAsia" w:ascii="Times New Roman" w:hAnsi="Times New Roman" w:eastAsia="仿宋_GB2312" w:cs="Times New Roman"/>
              </w:rPr>
              <w:t>大</w:t>
            </w:r>
            <w:r>
              <w:rPr>
                <w:rFonts w:ascii="Times New Roman" w:hAnsi="Times New Roman" w:eastAsia="仿宋_GB2312" w:cs="Times New Roman"/>
              </w:rPr>
              <w:t>队</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26" w:hRule="atLeast"/>
          <w:jc w:val="center"/>
        </w:trPr>
        <w:tc>
          <w:tcPr>
            <w:tcW w:w="515" w:type="pct"/>
            <w:vMerge w:val="continue"/>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rPr>
            </w:pPr>
            <w:r>
              <w:rPr>
                <w:rFonts w:hint="eastAsia" w:ascii="Times New Roman" w:hAnsi="Times New Roman" w:eastAsia="仿宋_GB2312" w:cs="Times New Roman"/>
              </w:rPr>
              <w:t>8</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snapToGrid w:val="0"/>
              </w:rPr>
              <w:t>特种设备万台事故率</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snapToGrid w:val="0"/>
              </w:rPr>
              <w:t>＜0.5</w:t>
            </w:r>
          </w:p>
        </w:tc>
        <w:tc>
          <w:tcPr>
            <w:tcW w:w="818"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rPr>
              <w:t>约束性</w:t>
            </w:r>
          </w:p>
        </w:tc>
        <w:tc>
          <w:tcPr>
            <w:tcW w:w="735"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hint="eastAsia" w:ascii="Times New Roman" w:hAnsi="Times New Roman" w:eastAsia="仿宋_GB2312" w:cs="Times New Roman"/>
              </w:rPr>
              <w:t>县</w:t>
            </w:r>
            <w:r>
              <w:rPr>
                <w:rFonts w:ascii="Times New Roman" w:hAnsi="Times New Roman" w:eastAsia="仿宋_GB2312" w:cs="Times New Roman"/>
              </w:rPr>
              <w:t>市场监督管理局</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515" w:type="pct"/>
            <w:vMerge w:val="restar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snapToGrid w:val="0"/>
              </w:rPr>
              <w:t>防灾</w:t>
            </w:r>
          </w:p>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snapToGrid w:val="0"/>
              </w:rPr>
              <w:t>减灾</w:t>
            </w:r>
          </w:p>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snapToGrid w:val="0"/>
              </w:rPr>
              <w:t>救灾</w:t>
            </w: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snapToGrid w:val="0"/>
              </w:rPr>
            </w:pPr>
            <w:r>
              <w:rPr>
                <w:rFonts w:hint="eastAsia" w:ascii="Times New Roman" w:hAnsi="Times New Roman" w:eastAsia="仿宋_GB2312" w:cs="Times New Roman"/>
                <w:snapToGrid w:val="0"/>
              </w:rPr>
              <w:t>9</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snapToGrid w:val="0"/>
              </w:rPr>
              <w:t>避灾安置场所规范化建设率</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hint="eastAsia" w:ascii="Times New Roman" w:hAnsi="Times New Roman" w:eastAsia="仿宋_GB2312" w:cs="Times New Roman"/>
              </w:rPr>
              <w:t>10</w:t>
            </w:r>
            <w:r>
              <w:rPr>
                <w:rFonts w:ascii="Times New Roman" w:hAnsi="Times New Roman" w:eastAsia="仿宋_GB2312" w:cs="Times New Roman"/>
              </w:rPr>
              <w:t>0%</w:t>
            </w:r>
          </w:p>
        </w:tc>
        <w:tc>
          <w:tcPr>
            <w:tcW w:w="818"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预期性</w:t>
            </w:r>
          </w:p>
        </w:tc>
        <w:tc>
          <w:tcPr>
            <w:tcW w:w="735" w:type="pct"/>
            <w:vMerge w:val="restar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hint="eastAsia" w:ascii="Times New Roman" w:hAnsi="Times New Roman" w:eastAsia="仿宋_GB2312" w:cs="Times New Roman"/>
              </w:rPr>
              <w:t>县</w:t>
            </w:r>
            <w:r>
              <w:rPr>
                <w:rFonts w:ascii="Times New Roman" w:hAnsi="Times New Roman" w:eastAsia="仿宋_GB2312" w:cs="Times New Roman"/>
              </w:rPr>
              <w:t>应急管理局</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515" w:type="pct"/>
            <w:vMerge w:val="continue"/>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snapToGrid w:val="0"/>
              </w:rPr>
            </w:pPr>
            <w:r>
              <w:rPr>
                <w:rFonts w:hint="eastAsia" w:ascii="Times New Roman" w:hAnsi="Times New Roman" w:eastAsia="仿宋_GB2312" w:cs="Times New Roman"/>
                <w:snapToGrid w:val="0"/>
              </w:rPr>
              <w:t>10</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snapToGrid w:val="0"/>
              </w:rPr>
              <w:t>受灾群众基本生活得到初步救助时间</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＜10小时</w:t>
            </w:r>
          </w:p>
        </w:tc>
        <w:tc>
          <w:tcPr>
            <w:tcW w:w="818"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预期性</w:t>
            </w:r>
          </w:p>
        </w:tc>
        <w:tc>
          <w:tcPr>
            <w:tcW w:w="735" w:type="pct"/>
            <w:vMerge w:val="continue"/>
            <w:vAlign w:val="center"/>
          </w:tcPr>
          <w:p>
            <w:pPr>
              <w:pStyle w:val="21"/>
              <w:widowControl w:val="0"/>
              <w:snapToGrid w:val="0"/>
              <w:spacing w:before="0" w:beforeAutospacing="0" w:after="0" w:afterAutospacing="0" w:line="300" w:lineRule="auto"/>
              <w:jc w:val="center"/>
              <w:rPr>
                <w:rFonts w:ascii="Times New Roman" w:hAnsi="Times New Roman"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12" w:hRule="atLeast"/>
          <w:jc w:val="center"/>
        </w:trPr>
        <w:tc>
          <w:tcPr>
            <w:tcW w:w="515" w:type="pct"/>
            <w:vMerge w:val="continue"/>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snapToGrid w:val="0"/>
              </w:rPr>
            </w:pPr>
            <w:r>
              <w:rPr>
                <w:rFonts w:ascii="Times New Roman" w:hAnsi="Times New Roman" w:eastAsia="仿宋_GB2312" w:cs="Times New Roman"/>
                <w:snapToGrid w:val="0"/>
              </w:rPr>
              <w:t>1</w:t>
            </w:r>
            <w:r>
              <w:rPr>
                <w:rFonts w:hint="eastAsia" w:ascii="Times New Roman" w:hAnsi="Times New Roman" w:eastAsia="仿宋_GB2312" w:cs="Times New Roman"/>
                <w:snapToGrid w:val="0"/>
              </w:rPr>
              <w:t>1</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snapToGrid w:val="0"/>
              </w:rPr>
              <w:t>森林火灾受害率</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＜0.8‰</w:t>
            </w:r>
          </w:p>
        </w:tc>
        <w:tc>
          <w:tcPr>
            <w:tcW w:w="818"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预期性</w:t>
            </w:r>
          </w:p>
        </w:tc>
        <w:tc>
          <w:tcPr>
            <w:tcW w:w="735" w:type="pct"/>
            <w:vMerge w:val="continue"/>
            <w:vAlign w:val="center"/>
          </w:tcPr>
          <w:p>
            <w:pPr>
              <w:pStyle w:val="21"/>
              <w:widowControl w:val="0"/>
              <w:snapToGrid w:val="0"/>
              <w:spacing w:before="0" w:beforeAutospacing="0" w:after="0" w:afterAutospacing="0" w:line="300" w:lineRule="auto"/>
              <w:jc w:val="center"/>
              <w:rPr>
                <w:rFonts w:ascii="Times New Roman" w:hAnsi="Times New Roman"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83" w:hRule="atLeast"/>
          <w:jc w:val="center"/>
        </w:trPr>
        <w:tc>
          <w:tcPr>
            <w:tcW w:w="515" w:type="pct"/>
            <w:vMerge w:val="continue"/>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snapToGrid w:val="0"/>
              </w:rPr>
            </w:pPr>
            <w:r>
              <w:rPr>
                <w:rFonts w:ascii="Times New Roman" w:hAnsi="Times New Roman" w:eastAsia="仿宋_GB2312" w:cs="Times New Roman"/>
                <w:snapToGrid w:val="0"/>
              </w:rPr>
              <w:t>1</w:t>
            </w:r>
            <w:r>
              <w:rPr>
                <w:rFonts w:hint="eastAsia" w:ascii="Times New Roman" w:hAnsi="Times New Roman" w:eastAsia="仿宋_GB2312" w:cs="Times New Roman"/>
                <w:snapToGrid w:val="0"/>
              </w:rPr>
              <w:t>2</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snapToGrid w:val="0"/>
              </w:rPr>
              <w:t>森林火灾监测覆盖率</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＞95%</w:t>
            </w:r>
          </w:p>
        </w:tc>
        <w:tc>
          <w:tcPr>
            <w:tcW w:w="818"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预期性</w:t>
            </w:r>
          </w:p>
        </w:tc>
        <w:tc>
          <w:tcPr>
            <w:tcW w:w="735" w:type="pct"/>
            <w:vMerge w:val="continue"/>
            <w:vAlign w:val="center"/>
          </w:tcPr>
          <w:p>
            <w:pPr>
              <w:pStyle w:val="21"/>
              <w:widowControl w:val="0"/>
              <w:snapToGrid w:val="0"/>
              <w:spacing w:before="0" w:beforeAutospacing="0" w:after="0" w:afterAutospacing="0" w:line="300" w:lineRule="auto"/>
              <w:jc w:val="center"/>
              <w:rPr>
                <w:rFonts w:ascii="Times New Roman" w:hAnsi="Times New Roman"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515" w:type="pct"/>
            <w:vMerge w:val="continue"/>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snapToGrid w:val="0"/>
              </w:rPr>
            </w:pPr>
            <w:r>
              <w:rPr>
                <w:rFonts w:ascii="Times New Roman" w:hAnsi="Times New Roman" w:eastAsia="仿宋_GB2312" w:cs="Times New Roman"/>
                <w:snapToGrid w:val="0"/>
              </w:rPr>
              <w:t>1</w:t>
            </w:r>
            <w:r>
              <w:rPr>
                <w:rFonts w:hint="eastAsia" w:ascii="Times New Roman" w:hAnsi="Times New Roman" w:eastAsia="仿宋_GB2312" w:cs="Times New Roman"/>
                <w:snapToGrid w:val="0"/>
              </w:rPr>
              <w:t>3</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snapToGrid w:val="0"/>
              </w:rPr>
              <w:t>年均因灾直接经济损失占全</w:t>
            </w:r>
            <w:r>
              <w:rPr>
                <w:rFonts w:hint="eastAsia" w:ascii="Times New Roman" w:hAnsi="Times New Roman" w:eastAsia="仿宋_GB2312" w:cs="Times New Roman"/>
                <w:snapToGrid w:val="0"/>
              </w:rPr>
              <w:t>县</w:t>
            </w:r>
            <w:r>
              <w:rPr>
                <w:rFonts w:ascii="Times New Roman" w:hAnsi="Times New Roman" w:eastAsia="仿宋_GB2312" w:cs="Times New Roman"/>
                <w:snapToGrid w:val="0"/>
              </w:rPr>
              <w:t>GDP比例</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＜0.9%</w:t>
            </w:r>
          </w:p>
        </w:tc>
        <w:tc>
          <w:tcPr>
            <w:tcW w:w="818"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预期性</w:t>
            </w:r>
          </w:p>
        </w:tc>
        <w:tc>
          <w:tcPr>
            <w:tcW w:w="735" w:type="pct"/>
            <w:vMerge w:val="continue"/>
            <w:vAlign w:val="center"/>
          </w:tcPr>
          <w:p>
            <w:pPr>
              <w:pStyle w:val="21"/>
              <w:widowControl w:val="0"/>
              <w:snapToGrid w:val="0"/>
              <w:spacing w:before="0" w:beforeAutospacing="0" w:after="0" w:afterAutospacing="0" w:line="300" w:lineRule="auto"/>
              <w:jc w:val="center"/>
              <w:rPr>
                <w:rFonts w:ascii="Times New Roman" w:hAnsi="Times New Roman"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515" w:type="pct"/>
            <w:vMerge w:val="continue"/>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snapToGrid w:val="0"/>
              </w:rPr>
            </w:pPr>
            <w:r>
              <w:rPr>
                <w:rFonts w:ascii="Times New Roman" w:hAnsi="Times New Roman" w:eastAsia="仿宋_GB2312" w:cs="Times New Roman"/>
                <w:snapToGrid w:val="0"/>
              </w:rPr>
              <w:t>1</w:t>
            </w:r>
            <w:r>
              <w:rPr>
                <w:rFonts w:hint="eastAsia" w:ascii="Times New Roman" w:hAnsi="Times New Roman" w:eastAsia="仿宋_GB2312" w:cs="Times New Roman"/>
                <w:snapToGrid w:val="0"/>
              </w:rPr>
              <w:t>4</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snapToGrid w:val="0"/>
              </w:rPr>
              <w:t>年均每百万人口因灾死亡率</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＜0.9</w:t>
            </w:r>
          </w:p>
        </w:tc>
        <w:tc>
          <w:tcPr>
            <w:tcW w:w="818"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预期性</w:t>
            </w:r>
          </w:p>
        </w:tc>
        <w:tc>
          <w:tcPr>
            <w:tcW w:w="735" w:type="pct"/>
            <w:vMerge w:val="continue"/>
            <w:vAlign w:val="center"/>
          </w:tcPr>
          <w:p>
            <w:pPr>
              <w:pStyle w:val="21"/>
              <w:widowControl w:val="0"/>
              <w:snapToGrid w:val="0"/>
              <w:spacing w:before="0" w:beforeAutospacing="0" w:after="0" w:afterAutospacing="0" w:line="300" w:lineRule="auto"/>
              <w:jc w:val="center"/>
              <w:rPr>
                <w:rFonts w:ascii="Times New Roman" w:hAnsi="Times New Roman"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97" w:hRule="atLeast"/>
          <w:jc w:val="center"/>
        </w:trPr>
        <w:tc>
          <w:tcPr>
            <w:tcW w:w="515" w:type="pct"/>
            <w:vMerge w:val="restar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snapToGrid w:val="0"/>
              </w:rPr>
              <w:t>应急救援</w:t>
            </w: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snapToGrid w:val="0"/>
              </w:rPr>
            </w:pPr>
            <w:r>
              <w:rPr>
                <w:rFonts w:ascii="Times New Roman" w:hAnsi="Times New Roman" w:eastAsia="仿宋_GB2312" w:cs="Times New Roman"/>
                <w:snapToGrid w:val="0"/>
              </w:rPr>
              <w:t>1</w:t>
            </w:r>
            <w:r>
              <w:rPr>
                <w:rFonts w:hint="eastAsia" w:ascii="Times New Roman" w:hAnsi="Times New Roman" w:eastAsia="仿宋_GB2312" w:cs="Times New Roman"/>
                <w:snapToGrid w:val="0"/>
              </w:rPr>
              <w:t>5</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snapToGrid w:val="0"/>
              </w:rPr>
              <w:t>专业森林防灭火队伍</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color w:val="auto"/>
              </w:rPr>
            </w:pPr>
            <w:r>
              <w:rPr>
                <w:rFonts w:hint="eastAsia" w:ascii="Times New Roman" w:hAnsi="Times New Roman" w:eastAsia="仿宋_GB2312" w:cs="Times New Roman"/>
                <w:color w:val="auto"/>
              </w:rPr>
              <w:t>1支</w:t>
            </w:r>
          </w:p>
        </w:tc>
        <w:tc>
          <w:tcPr>
            <w:tcW w:w="818"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color w:val="auto"/>
              </w:rPr>
            </w:pPr>
            <w:r>
              <w:rPr>
                <w:rFonts w:hint="eastAsia" w:ascii="Times New Roman" w:hAnsi="Times New Roman" w:eastAsia="仿宋_GB2312" w:cs="Times New Roman"/>
                <w:color w:val="auto"/>
              </w:rPr>
              <w:t>约束</w:t>
            </w:r>
            <w:r>
              <w:rPr>
                <w:rFonts w:ascii="Times New Roman" w:hAnsi="Times New Roman" w:eastAsia="仿宋_GB2312" w:cs="Times New Roman"/>
                <w:color w:val="auto"/>
              </w:rPr>
              <w:t>性</w:t>
            </w:r>
          </w:p>
        </w:tc>
        <w:tc>
          <w:tcPr>
            <w:tcW w:w="735" w:type="pct"/>
            <w:vMerge w:val="continue"/>
            <w:vAlign w:val="center"/>
          </w:tcPr>
          <w:p>
            <w:pPr>
              <w:pStyle w:val="21"/>
              <w:widowControl w:val="0"/>
              <w:snapToGrid w:val="0"/>
              <w:spacing w:before="0" w:beforeAutospacing="0" w:after="0" w:afterAutospacing="0" w:line="300" w:lineRule="auto"/>
              <w:jc w:val="center"/>
              <w:rPr>
                <w:rFonts w:ascii="Times New Roman" w:hAnsi="Times New Roman" w:cs="Times New Roma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515" w:type="pct"/>
            <w:vMerge w:val="continue"/>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snapToGrid w:val="0"/>
              </w:rPr>
            </w:pPr>
            <w:r>
              <w:rPr>
                <w:rFonts w:ascii="Times New Roman" w:hAnsi="Times New Roman" w:eastAsia="仿宋_GB2312" w:cs="Times New Roman"/>
                <w:snapToGrid w:val="0"/>
              </w:rPr>
              <w:t>1</w:t>
            </w:r>
            <w:r>
              <w:rPr>
                <w:rFonts w:hint="eastAsia" w:ascii="Times New Roman" w:hAnsi="Times New Roman" w:eastAsia="仿宋_GB2312" w:cs="Times New Roman"/>
                <w:snapToGrid w:val="0"/>
              </w:rPr>
              <w:t>6</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snapToGrid w:val="0"/>
              </w:rPr>
              <w:t>专职消防人员占全</w:t>
            </w:r>
            <w:r>
              <w:rPr>
                <w:rFonts w:hint="eastAsia" w:ascii="Times New Roman" w:hAnsi="Times New Roman" w:eastAsia="仿宋_GB2312" w:cs="Times New Roman"/>
                <w:snapToGrid w:val="0"/>
              </w:rPr>
              <w:t>县</w:t>
            </w:r>
            <w:r>
              <w:rPr>
                <w:rFonts w:ascii="Times New Roman" w:hAnsi="Times New Roman" w:eastAsia="仿宋_GB2312" w:cs="Times New Roman"/>
                <w:snapToGrid w:val="0"/>
              </w:rPr>
              <w:t>总人口的比例</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＞0.5‰</w:t>
            </w:r>
          </w:p>
        </w:tc>
        <w:tc>
          <w:tcPr>
            <w:tcW w:w="818"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预期性</w:t>
            </w:r>
          </w:p>
        </w:tc>
        <w:tc>
          <w:tcPr>
            <w:tcW w:w="735" w:type="pct"/>
            <w:vAlign w:val="center"/>
          </w:tcPr>
          <w:p>
            <w:pPr>
              <w:pStyle w:val="21"/>
              <w:widowControl w:val="0"/>
              <w:snapToGrid w:val="0"/>
              <w:spacing w:before="0" w:beforeAutospacing="0" w:after="0" w:afterAutospacing="0" w:line="300" w:lineRule="auto"/>
              <w:jc w:val="center"/>
              <w:rPr>
                <w:rFonts w:ascii="Times New Roman" w:hAnsi="Times New Roman" w:cs="Times New Roman"/>
              </w:rPr>
            </w:pPr>
            <w:r>
              <w:rPr>
                <w:rFonts w:hint="eastAsia" w:ascii="Times New Roman" w:hAnsi="Times New Roman" w:eastAsia="仿宋_GB2312" w:cs="Times New Roman"/>
              </w:rPr>
              <w:t>县</w:t>
            </w:r>
            <w:r>
              <w:rPr>
                <w:rFonts w:ascii="Times New Roman" w:hAnsi="Times New Roman" w:eastAsia="仿宋_GB2312" w:cs="Times New Roman"/>
              </w:rPr>
              <w:t>消防救援</w:t>
            </w:r>
            <w:r>
              <w:rPr>
                <w:rFonts w:hint="eastAsia" w:ascii="Times New Roman" w:hAnsi="Times New Roman" w:eastAsia="仿宋_GB2312" w:cs="Times New Roman"/>
              </w:rPr>
              <w:t>大</w:t>
            </w:r>
            <w:r>
              <w:rPr>
                <w:rFonts w:ascii="Times New Roman" w:hAnsi="Times New Roman" w:eastAsia="仿宋_GB2312" w:cs="Times New Roman"/>
              </w:rPr>
              <w:t>队</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jc w:val="center"/>
        </w:trPr>
        <w:tc>
          <w:tcPr>
            <w:tcW w:w="515" w:type="pct"/>
            <w:vMerge w:val="continue"/>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p>
        </w:tc>
        <w:tc>
          <w:tcPr>
            <w:tcW w:w="387" w:type="pct"/>
            <w:shd w:val="clear" w:color="auto" w:fill="auto"/>
            <w:vAlign w:val="center"/>
          </w:tcPr>
          <w:p>
            <w:pPr>
              <w:pStyle w:val="21"/>
              <w:widowControl w:val="0"/>
              <w:snapToGrid w:val="0"/>
              <w:spacing w:before="0" w:beforeAutospacing="0" w:after="0" w:afterAutospacing="0" w:line="300" w:lineRule="auto"/>
              <w:ind w:left="228" w:hanging="228" w:hangingChars="95"/>
              <w:jc w:val="center"/>
              <w:rPr>
                <w:rFonts w:ascii="Times New Roman" w:hAnsi="Times New Roman" w:eastAsia="仿宋_GB2312" w:cs="Times New Roman"/>
                <w:snapToGrid w:val="0"/>
              </w:rPr>
            </w:pPr>
            <w:r>
              <w:rPr>
                <w:rFonts w:hint="eastAsia" w:ascii="Times New Roman" w:hAnsi="Times New Roman" w:eastAsia="仿宋_GB2312" w:cs="Times New Roman"/>
                <w:snapToGrid w:val="0"/>
              </w:rPr>
              <w:t>17</w:t>
            </w:r>
          </w:p>
        </w:tc>
        <w:tc>
          <w:tcPr>
            <w:tcW w:w="1481"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snapToGrid w:val="0"/>
              </w:rPr>
            </w:pPr>
            <w:r>
              <w:rPr>
                <w:rFonts w:ascii="Times New Roman" w:hAnsi="Times New Roman" w:eastAsia="仿宋_GB2312" w:cs="Times New Roman"/>
                <w:snapToGrid w:val="0"/>
              </w:rPr>
              <w:t>社会救援力量红十字救护员取证率</w:t>
            </w:r>
          </w:p>
        </w:tc>
        <w:tc>
          <w:tcPr>
            <w:tcW w:w="1064" w:type="pct"/>
            <w:shd w:val="clear" w:color="auto" w:fill="auto"/>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＞95%</w:t>
            </w:r>
          </w:p>
        </w:tc>
        <w:tc>
          <w:tcPr>
            <w:tcW w:w="818" w:type="pct"/>
            <w:vAlign w:val="center"/>
          </w:tcPr>
          <w:p>
            <w:pPr>
              <w:pStyle w:val="21"/>
              <w:widowControl w:val="0"/>
              <w:snapToGrid w:val="0"/>
              <w:spacing w:before="0" w:beforeAutospacing="0" w:after="0" w:afterAutospacing="0" w:line="300" w:lineRule="auto"/>
              <w:jc w:val="center"/>
              <w:rPr>
                <w:rFonts w:ascii="Times New Roman" w:hAnsi="Times New Roman" w:eastAsia="仿宋_GB2312" w:cs="Times New Roman"/>
              </w:rPr>
            </w:pPr>
            <w:r>
              <w:rPr>
                <w:rFonts w:ascii="Times New Roman" w:hAnsi="Times New Roman" w:eastAsia="仿宋_GB2312" w:cs="Times New Roman"/>
              </w:rPr>
              <w:t>预期性</w:t>
            </w:r>
          </w:p>
        </w:tc>
        <w:tc>
          <w:tcPr>
            <w:tcW w:w="735" w:type="pct"/>
            <w:vAlign w:val="center"/>
          </w:tcPr>
          <w:p>
            <w:pPr>
              <w:pStyle w:val="21"/>
              <w:widowControl w:val="0"/>
              <w:snapToGrid w:val="0"/>
              <w:spacing w:before="0" w:beforeAutospacing="0" w:after="0" w:afterAutospacing="0" w:line="300" w:lineRule="auto"/>
              <w:jc w:val="center"/>
              <w:rPr>
                <w:rFonts w:ascii="Times New Roman" w:hAnsi="Times New Roman" w:cs="Times New Roman"/>
              </w:rPr>
            </w:pPr>
            <w:r>
              <w:rPr>
                <w:rFonts w:hint="eastAsia" w:ascii="Times New Roman" w:hAnsi="Times New Roman" w:eastAsia="仿宋_GB2312" w:cs="Times New Roman"/>
              </w:rPr>
              <w:t>县</w:t>
            </w:r>
            <w:r>
              <w:rPr>
                <w:rFonts w:ascii="Times New Roman" w:hAnsi="Times New Roman" w:eastAsia="仿宋_GB2312" w:cs="Times New Roman"/>
              </w:rPr>
              <w:t>红十字会</w:t>
            </w:r>
          </w:p>
        </w:tc>
      </w:tr>
    </w:tbl>
    <w:p>
      <w:pPr>
        <w:pStyle w:val="2"/>
        <w:snapToGrid w:val="0"/>
        <w:spacing w:before="120" w:after="120" w:line="300" w:lineRule="auto"/>
        <w:ind w:firstLine="643" w:firstLineChars="200"/>
        <w:jc w:val="left"/>
        <w:rPr>
          <w:rFonts w:eastAsia="黑体"/>
          <w:lang w:bidi="zh-TW"/>
        </w:rPr>
      </w:pPr>
      <w:bookmarkStart w:id="77" w:name="_Toc26549"/>
      <w:bookmarkStart w:id="78" w:name="_Toc5677"/>
      <w:bookmarkStart w:id="79" w:name="_Toc9240"/>
      <w:bookmarkStart w:id="80" w:name="_Toc29862"/>
      <w:bookmarkStart w:id="81" w:name="_Toc88430413"/>
      <w:bookmarkStart w:id="82" w:name="_Toc2820"/>
      <w:bookmarkStart w:id="83" w:name="_Toc18877"/>
      <w:r>
        <w:rPr>
          <w:rFonts w:hint="eastAsia" w:eastAsia="黑体"/>
          <w:lang w:bidi="zh-TW"/>
        </w:rPr>
        <w:t>三、工作任务</w:t>
      </w:r>
      <w:bookmarkEnd w:id="77"/>
      <w:bookmarkEnd w:id="78"/>
      <w:bookmarkEnd w:id="79"/>
      <w:bookmarkEnd w:id="80"/>
      <w:bookmarkEnd w:id="81"/>
      <w:bookmarkEnd w:id="82"/>
      <w:bookmarkEnd w:id="83"/>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84" w:name="_Toc88430414"/>
      <w:bookmarkStart w:id="85" w:name="_Toc22136"/>
      <w:bookmarkStart w:id="86" w:name="_Toc298"/>
      <w:bookmarkStart w:id="87" w:name="_Toc28963"/>
      <w:bookmarkStart w:id="88" w:name="_Toc22998"/>
      <w:bookmarkStart w:id="89" w:name="_Toc3664"/>
      <w:bookmarkStart w:id="90" w:name="_Toc2002"/>
      <w:r>
        <w:rPr>
          <w:rFonts w:hint="eastAsia" w:ascii="Times New Roman" w:hAnsi="Times New Roman" w:eastAsia="楷体" w:cs="Times New Roman"/>
          <w:bCs w:val="0"/>
          <w:lang w:eastAsia="zh-CN"/>
        </w:rPr>
        <w:t>（一）构建权威高效的应急责任体系，</w:t>
      </w:r>
      <w:r>
        <w:rPr>
          <w:rFonts w:ascii="Times New Roman" w:hAnsi="Times New Roman" w:eastAsia="楷体" w:cs="Times New Roman"/>
          <w:bCs w:val="0"/>
          <w:lang w:eastAsia="zh-CN"/>
        </w:rPr>
        <w:t>全面提升执行落实能力</w:t>
      </w:r>
      <w:bookmarkEnd w:id="84"/>
    </w:p>
    <w:p>
      <w:pPr>
        <w:snapToGrid w:val="0"/>
        <w:spacing w:line="300" w:lineRule="auto"/>
        <w:ind w:firstLine="643" w:firstLineChars="200"/>
        <w:rPr>
          <w:rFonts w:ascii="仿宋_GB2312" w:eastAsia="仿宋_GB2312"/>
          <w:bCs/>
          <w:color w:val="000000"/>
          <w:sz w:val="32"/>
          <w:szCs w:val="32"/>
        </w:rPr>
      </w:pPr>
      <w:r>
        <w:rPr>
          <w:rFonts w:hint="eastAsia" w:ascii="仿宋_GB2312" w:eastAsia="仿宋_GB2312"/>
          <w:b/>
          <w:color w:val="000000"/>
          <w:sz w:val="32"/>
          <w:szCs w:val="32"/>
        </w:rPr>
        <w:t>1.健全应急组织机构。</w:t>
      </w:r>
      <w:r>
        <w:rPr>
          <w:rFonts w:hint="eastAsia" w:ascii="仿宋_GB2312" w:eastAsia="仿宋_GB2312"/>
          <w:bCs/>
          <w:color w:val="000000"/>
          <w:sz w:val="32"/>
          <w:szCs w:val="32"/>
        </w:rPr>
        <w:t>推进县级党委政府成立应急委员会、应急管理总指挥部等，</w:t>
      </w:r>
      <w:r>
        <w:rPr>
          <w:rFonts w:hint="eastAsia" w:ascii="仿宋_GB2312" w:hAnsi="仿宋" w:eastAsia="仿宋_GB2312"/>
          <w:bCs/>
          <w:sz w:val="32"/>
          <w:szCs w:val="32"/>
        </w:rPr>
        <w:t>明确“统”“分”关</w:t>
      </w:r>
      <w:r>
        <w:rPr>
          <w:rFonts w:hint="eastAsia" w:ascii="仿宋_GB2312" w:hAnsi="仿宋" w:eastAsia="仿宋_GB2312"/>
          <w:sz w:val="32"/>
          <w:szCs w:val="32"/>
        </w:rPr>
        <w:t>系，落实“防”“救” 责任，</w:t>
      </w:r>
      <w:r>
        <w:rPr>
          <w:rFonts w:hint="eastAsia" w:ascii="仿宋_GB2312" w:eastAsia="仿宋_GB2312"/>
          <w:bCs/>
          <w:color w:val="000000"/>
          <w:sz w:val="32"/>
          <w:szCs w:val="32"/>
        </w:rPr>
        <w:t>强化健全机构设置、人员保障、工作职责以及运行规则，到202</w:t>
      </w:r>
      <w:r>
        <w:rPr>
          <w:rFonts w:ascii="仿宋_GB2312" w:eastAsia="仿宋_GB2312"/>
          <w:bCs/>
          <w:color w:val="000000"/>
          <w:sz w:val="32"/>
          <w:szCs w:val="32"/>
        </w:rPr>
        <w:t>3</w:t>
      </w:r>
      <w:r>
        <w:rPr>
          <w:rFonts w:hint="eastAsia" w:ascii="仿宋_GB2312" w:eastAsia="仿宋_GB2312"/>
          <w:bCs/>
          <w:color w:val="000000"/>
          <w:sz w:val="32"/>
          <w:szCs w:val="32"/>
        </w:rPr>
        <w:t>年，全面完成遂昌县应急委员会及下设专委会组建工作，进一步调整优化各类协调机构的工作运行机制，发挥其对重要决策、重点工作的统筹职能，加强对成员单位履职情况的督促检查，到2</w:t>
      </w:r>
      <w:r>
        <w:rPr>
          <w:rFonts w:ascii="仿宋_GB2312" w:eastAsia="仿宋_GB2312"/>
          <w:bCs/>
          <w:color w:val="000000"/>
          <w:sz w:val="32"/>
          <w:szCs w:val="32"/>
        </w:rPr>
        <w:t>025</w:t>
      </w:r>
      <w:r>
        <w:rPr>
          <w:rFonts w:hint="eastAsia" w:ascii="仿宋_GB2312" w:eastAsia="仿宋_GB2312"/>
          <w:bCs/>
          <w:color w:val="000000"/>
          <w:sz w:val="32"/>
          <w:szCs w:val="32"/>
        </w:rPr>
        <w:t>年实现对安全生产、自然灾害的全面统筹。</w:t>
      </w:r>
    </w:p>
    <w:p>
      <w:pPr>
        <w:snapToGrid w:val="0"/>
        <w:spacing w:line="300" w:lineRule="auto"/>
        <w:ind w:firstLine="643" w:firstLineChars="200"/>
        <w:rPr>
          <w:rFonts w:ascii="仿宋_GB2312" w:eastAsia="仿宋_GB2312" w:cs="宋体"/>
          <w:bCs/>
          <w:color w:val="auto"/>
          <w:sz w:val="32"/>
          <w:szCs w:val="32"/>
        </w:rPr>
      </w:pPr>
      <w:r>
        <w:rPr>
          <w:rFonts w:hint="eastAsia" w:ascii="仿宋_GB2312" w:eastAsia="仿宋_GB2312" w:cs="宋体"/>
          <w:b/>
          <w:color w:val="000000"/>
          <w:sz w:val="32"/>
          <w:szCs w:val="32"/>
        </w:rPr>
        <w:t>2.优化统筹协调机制。</w:t>
      </w:r>
      <w:r>
        <w:rPr>
          <w:rFonts w:hint="eastAsia" w:ascii="仿宋_GB2312" w:eastAsia="仿宋_GB2312" w:cs="宋体"/>
          <w:bCs/>
          <w:color w:val="000000"/>
          <w:sz w:val="32"/>
          <w:szCs w:val="32"/>
        </w:rPr>
        <w:t>根据“多灾种、大应急”的要求，健全县</w:t>
      </w:r>
      <w:r>
        <w:rPr>
          <w:rFonts w:hint="eastAsia" w:ascii="仿宋_GB2312" w:hAnsi="仿宋_GB2312" w:eastAsia="仿宋_GB2312" w:cs="仿宋_GB2312"/>
          <w:sz w:val="32"/>
          <w:szCs w:val="32"/>
        </w:rPr>
        <w:t>安委会办公室、县防台防汛抗旱指挥部办公室、县森林防灭火指挥部办公室、县减灾委员会办公室等议事协调机制</w:t>
      </w:r>
      <w:r>
        <w:rPr>
          <w:rFonts w:hint="eastAsia" w:ascii="仿宋_GB2312" w:eastAsia="仿宋_GB2312" w:cs="宋体"/>
          <w:bCs/>
          <w:color w:val="000000"/>
          <w:sz w:val="32"/>
          <w:szCs w:val="32"/>
        </w:rPr>
        <w:t>，进一步明确各应急管理议事协调机构职能、权限、程序、责任，实施扁平化管理，健全研判会商机制，增强应急管理工作的系统性、整体性、协调性，提高机构运行效率。</w:t>
      </w:r>
      <w:r>
        <w:rPr>
          <w:rFonts w:ascii="仿宋_GB2312" w:eastAsia="仿宋_GB2312" w:cs="宋体"/>
          <w:bCs/>
          <w:color w:val="auto"/>
          <w:sz w:val="32"/>
          <w:szCs w:val="32"/>
        </w:rPr>
        <w:t>围绕</w:t>
      </w:r>
      <w:r>
        <w:rPr>
          <w:rFonts w:hint="eastAsia" w:ascii="仿宋_GB2312" w:eastAsia="仿宋_GB2312" w:cs="宋体"/>
          <w:bCs/>
          <w:color w:val="auto"/>
          <w:sz w:val="32"/>
          <w:szCs w:val="32"/>
        </w:rPr>
        <w:t>“</w:t>
      </w:r>
      <w:r>
        <w:rPr>
          <w:rFonts w:ascii="仿宋_GB2312" w:eastAsia="仿宋_GB2312" w:cs="宋体"/>
          <w:bCs/>
          <w:color w:val="auto"/>
          <w:sz w:val="32"/>
          <w:szCs w:val="32"/>
        </w:rPr>
        <w:t>大综合一体化</w:t>
      </w:r>
      <w:r>
        <w:rPr>
          <w:rFonts w:hint="eastAsia" w:ascii="仿宋_GB2312" w:eastAsia="仿宋_GB2312" w:cs="宋体"/>
          <w:bCs/>
          <w:color w:val="auto"/>
          <w:sz w:val="32"/>
          <w:szCs w:val="32"/>
        </w:rPr>
        <w:t>”</w:t>
      </w:r>
      <w:r>
        <w:rPr>
          <w:rFonts w:ascii="仿宋_GB2312" w:eastAsia="仿宋_GB2312" w:cs="宋体"/>
          <w:bCs/>
          <w:color w:val="auto"/>
          <w:sz w:val="32"/>
          <w:szCs w:val="32"/>
        </w:rPr>
        <w:t>总体目标</w:t>
      </w:r>
      <w:r>
        <w:rPr>
          <w:rFonts w:hint="eastAsia" w:ascii="仿宋_GB2312" w:eastAsia="仿宋_GB2312" w:cs="宋体"/>
          <w:bCs/>
          <w:color w:val="auto"/>
          <w:sz w:val="32"/>
          <w:szCs w:val="32"/>
        </w:rPr>
        <w:t>，</w:t>
      </w:r>
      <w:r>
        <w:rPr>
          <w:rFonts w:ascii="仿宋_GB2312" w:eastAsia="仿宋_GB2312" w:cs="宋体"/>
          <w:bCs/>
          <w:color w:val="auto"/>
          <w:sz w:val="32"/>
          <w:szCs w:val="32"/>
        </w:rPr>
        <w:t>快形成权责一致、权威高效的</w:t>
      </w:r>
      <w:r>
        <w:rPr>
          <w:rFonts w:hint="eastAsia" w:ascii="仿宋_GB2312" w:eastAsia="仿宋_GB2312" w:cs="宋体"/>
          <w:bCs/>
          <w:color w:val="auto"/>
          <w:sz w:val="32"/>
          <w:szCs w:val="32"/>
        </w:rPr>
        <w:t>“</w:t>
      </w:r>
      <w:r>
        <w:rPr>
          <w:rFonts w:ascii="仿宋_GB2312" w:eastAsia="仿宋_GB2312" w:cs="宋体"/>
          <w:bCs/>
          <w:color w:val="auto"/>
          <w:sz w:val="32"/>
          <w:szCs w:val="32"/>
        </w:rPr>
        <w:t>大综合一体化</w:t>
      </w:r>
      <w:r>
        <w:rPr>
          <w:rFonts w:hint="eastAsia" w:ascii="仿宋_GB2312" w:eastAsia="仿宋_GB2312" w:cs="宋体"/>
          <w:bCs/>
          <w:color w:val="auto"/>
          <w:sz w:val="32"/>
          <w:szCs w:val="32"/>
        </w:rPr>
        <w:t>”</w:t>
      </w:r>
      <w:r>
        <w:rPr>
          <w:rFonts w:ascii="仿宋_GB2312" w:eastAsia="仿宋_GB2312" w:cs="宋体"/>
          <w:bCs/>
          <w:color w:val="auto"/>
          <w:sz w:val="32"/>
          <w:szCs w:val="32"/>
        </w:rPr>
        <w:t>行政执法格局</w:t>
      </w:r>
      <w:r>
        <w:rPr>
          <w:rFonts w:hint="eastAsia" w:ascii="仿宋_GB2312" w:eastAsia="仿宋_GB2312" w:cs="宋体"/>
          <w:bCs/>
          <w:color w:val="auto"/>
          <w:sz w:val="32"/>
          <w:szCs w:val="32"/>
        </w:rPr>
        <w:t>，</w:t>
      </w:r>
      <w:r>
        <w:rPr>
          <w:rFonts w:ascii="仿宋_GB2312" w:eastAsia="仿宋_GB2312" w:cs="宋体"/>
          <w:bCs/>
          <w:color w:val="auto"/>
          <w:sz w:val="32"/>
          <w:szCs w:val="32"/>
        </w:rPr>
        <w:t>推进综合行政执法标准化、规范化、数字化，切实提升行政执法效能和人民群众满意度</w:t>
      </w:r>
      <w:r>
        <w:rPr>
          <w:rFonts w:hint="eastAsia" w:ascii="仿宋_GB2312" w:eastAsia="仿宋_GB2312" w:cs="宋体"/>
          <w:bCs/>
          <w:color w:val="auto"/>
          <w:sz w:val="32"/>
          <w:szCs w:val="32"/>
        </w:rPr>
        <w:t>。</w:t>
      </w:r>
    </w:p>
    <w:p>
      <w:pPr>
        <w:snapToGrid w:val="0"/>
        <w:spacing w:line="300" w:lineRule="auto"/>
        <w:ind w:firstLine="643" w:firstLineChars="200"/>
        <w:rPr>
          <w:rFonts w:ascii="仿宋_GB2312" w:eastAsia="仿宋_GB2312" w:cs="宋体"/>
          <w:bCs/>
          <w:color w:val="000000"/>
          <w:sz w:val="32"/>
          <w:szCs w:val="32"/>
        </w:rPr>
      </w:pPr>
      <w:r>
        <w:rPr>
          <w:rFonts w:hint="eastAsia" w:ascii="仿宋_GB2312" w:eastAsia="仿宋_GB2312"/>
          <w:b/>
          <w:color w:val="000000"/>
          <w:sz w:val="32"/>
          <w:szCs w:val="32"/>
        </w:rPr>
        <w:t>3.强化应急管理</w:t>
      </w:r>
      <w:r>
        <w:rPr>
          <w:rFonts w:hint="eastAsia" w:ascii="仿宋_GB2312" w:hAnsi="宋体" w:eastAsia="仿宋_GB2312" w:cs="宋体"/>
          <w:b/>
          <w:color w:val="000000"/>
          <w:sz w:val="32"/>
          <w:szCs w:val="32"/>
        </w:rPr>
        <w:t>责任落实。</w:t>
      </w:r>
      <w:r>
        <w:rPr>
          <w:rFonts w:ascii="仿宋_GB2312" w:eastAsia="仿宋_GB2312"/>
          <w:bCs/>
          <w:color w:val="000000"/>
          <w:sz w:val="32"/>
          <w:szCs w:val="32"/>
        </w:rPr>
        <w:t>加强党委政府对应急管理工作的领导，严格落实党政主要负责人应急管理第一责任人，按照</w:t>
      </w:r>
      <w:r>
        <w:rPr>
          <w:rFonts w:hint="eastAsia" w:ascii="仿宋_GB2312" w:eastAsia="仿宋_GB2312"/>
          <w:bCs/>
          <w:color w:val="000000"/>
          <w:sz w:val="32"/>
          <w:szCs w:val="32"/>
        </w:rPr>
        <w:t>“</w:t>
      </w:r>
      <w:r>
        <w:rPr>
          <w:rFonts w:ascii="仿宋_GB2312" w:eastAsia="仿宋_GB2312"/>
          <w:bCs/>
          <w:color w:val="000000"/>
          <w:sz w:val="32"/>
          <w:szCs w:val="32"/>
        </w:rPr>
        <w:t>党政同责、一岗双责</w:t>
      </w:r>
      <w:r>
        <w:rPr>
          <w:rFonts w:hint="eastAsia" w:ascii="仿宋_GB2312" w:eastAsia="仿宋_GB2312"/>
          <w:bCs/>
          <w:color w:val="000000"/>
          <w:sz w:val="32"/>
          <w:szCs w:val="32"/>
        </w:rPr>
        <w:t>”</w:t>
      </w:r>
      <w:r>
        <w:rPr>
          <w:rFonts w:ascii="仿宋_GB2312" w:eastAsia="仿宋_GB2312"/>
          <w:bCs/>
          <w:color w:val="000000"/>
          <w:sz w:val="32"/>
          <w:szCs w:val="32"/>
        </w:rPr>
        <w:t>的要求，强化分管责任，加强对安全生产、防灾减灾、应急救援等工作的领导。健全</w:t>
      </w:r>
      <w:r>
        <w:rPr>
          <w:rFonts w:hint="eastAsia" w:ascii="仿宋_GB2312" w:eastAsia="仿宋_GB2312"/>
          <w:bCs/>
          <w:color w:val="000000"/>
          <w:sz w:val="32"/>
          <w:szCs w:val="32"/>
        </w:rPr>
        <w:t>“</w:t>
      </w:r>
      <w:r>
        <w:rPr>
          <w:rFonts w:ascii="仿宋_GB2312" w:eastAsia="仿宋_GB2312"/>
          <w:bCs/>
          <w:color w:val="000000"/>
          <w:sz w:val="32"/>
          <w:szCs w:val="32"/>
        </w:rPr>
        <w:t>三个必须</w:t>
      </w:r>
      <w:r>
        <w:rPr>
          <w:rFonts w:hint="eastAsia" w:ascii="仿宋_GB2312" w:eastAsia="仿宋_GB2312"/>
          <w:bCs/>
          <w:color w:val="000000"/>
          <w:sz w:val="32"/>
          <w:szCs w:val="32"/>
        </w:rPr>
        <w:t>”</w:t>
      </w:r>
      <w:r>
        <w:rPr>
          <w:rFonts w:ascii="仿宋_GB2312" w:eastAsia="仿宋_GB2312"/>
          <w:bCs/>
          <w:color w:val="000000"/>
          <w:sz w:val="32"/>
          <w:szCs w:val="32"/>
        </w:rPr>
        <w:t>落实机制，厘清综合监管和行业管理部门安全生产权力和责任清单，细化年度应急管理工作目标责任制指标，推进行业监管部门严格落实</w:t>
      </w:r>
      <w:r>
        <w:rPr>
          <w:rFonts w:hint="eastAsia" w:ascii="仿宋_GB2312" w:eastAsia="仿宋_GB2312"/>
          <w:bCs/>
          <w:color w:val="000000"/>
          <w:sz w:val="32"/>
          <w:szCs w:val="32"/>
        </w:rPr>
        <w:t>“</w:t>
      </w:r>
      <w:r>
        <w:rPr>
          <w:rFonts w:ascii="仿宋_GB2312" w:eastAsia="仿宋_GB2312"/>
          <w:bCs/>
          <w:color w:val="000000"/>
          <w:sz w:val="32"/>
          <w:szCs w:val="32"/>
        </w:rPr>
        <w:t>一岗双责</w:t>
      </w:r>
      <w:r>
        <w:rPr>
          <w:rFonts w:hint="eastAsia" w:ascii="仿宋_GB2312" w:eastAsia="仿宋_GB2312"/>
          <w:bCs/>
          <w:color w:val="000000"/>
          <w:sz w:val="32"/>
          <w:szCs w:val="32"/>
        </w:rPr>
        <w:t>”</w:t>
      </w:r>
      <w:r>
        <w:rPr>
          <w:rFonts w:ascii="仿宋_GB2312" w:eastAsia="仿宋_GB2312"/>
          <w:bCs/>
          <w:color w:val="000000"/>
          <w:sz w:val="32"/>
          <w:szCs w:val="32"/>
        </w:rPr>
        <w:t>制度；统筹推进行业部门落实自然灾害防治责任，落实</w:t>
      </w:r>
      <w:r>
        <w:rPr>
          <w:rFonts w:hint="eastAsia" w:ascii="仿宋_GB2312" w:eastAsia="仿宋_GB2312"/>
          <w:bCs/>
          <w:color w:val="000000"/>
          <w:sz w:val="32"/>
          <w:szCs w:val="32"/>
        </w:rPr>
        <w:t>“</w:t>
      </w:r>
      <w:r>
        <w:rPr>
          <w:rFonts w:ascii="仿宋_GB2312" w:eastAsia="仿宋_GB2312"/>
          <w:bCs/>
          <w:color w:val="000000"/>
          <w:sz w:val="32"/>
          <w:szCs w:val="32"/>
        </w:rPr>
        <w:t>风险清单</w:t>
      </w:r>
      <w:r>
        <w:rPr>
          <w:rFonts w:hint="eastAsia" w:ascii="仿宋_GB2312" w:eastAsia="仿宋_GB2312"/>
          <w:bCs/>
          <w:color w:val="000000"/>
          <w:sz w:val="32"/>
          <w:szCs w:val="32"/>
        </w:rPr>
        <w:t>”</w:t>
      </w:r>
      <w:r>
        <w:rPr>
          <w:rFonts w:ascii="仿宋_GB2312" w:eastAsia="仿宋_GB2312"/>
          <w:bCs/>
          <w:color w:val="000000"/>
          <w:sz w:val="32"/>
          <w:szCs w:val="32"/>
        </w:rPr>
        <w:t>管理机制，提升灾害风险防范化解能力和</w:t>
      </w:r>
      <w:r>
        <w:rPr>
          <w:rFonts w:hint="eastAsia" w:ascii="仿宋_GB2312" w:eastAsia="仿宋_GB2312"/>
          <w:bCs/>
          <w:color w:val="000000"/>
          <w:sz w:val="32"/>
          <w:szCs w:val="32"/>
        </w:rPr>
        <w:t>突发事件</w:t>
      </w:r>
      <w:r>
        <w:rPr>
          <w:rFonts w:ascii="仿宋_GB2312" w:eastAsia="仿宋_GB2312"/>
          <w:bCs/>
          <w:color w:val="000000"/>
          <w:sz w:val="32"/>
          <w:szCs w:val="32"/>
        </w:rPr>
        <w:t>处置能力。严格落实企业法人和实际控制人的安全生产第一责任人责任，全面推进安全风险防控体系建设，积极推进安全生产标准化创建，健全安全责任制考核和责任追究度，做到安全责任、安全管理、安全投入、安全培训、应急救援</w:t>
      </w:r>
      <w:r>
        <w:rPr>
          <w:rFonts w:hint="eastAsia" w:ascii="仿宋_GB2312" w:eastAsia="仿宋_GB2312"/>
          <w:bCs/>
          <w:color w:val="000000"/>
          <w:sz w:val="32"/>
          <w:szCs w:val="32"/>
        </w:rPr>
        <w:t>“</w:t>
      </w:r>
      <w:r>
        <w:rPr>
          <w:rFonts w:ascii="仿宋_GB2312" w:eastAsia="仿宋_GB2312"/>
          <w:bCs/>
          <w:color w:val="000000"/>
          <w:sz w:val="32"/>
          <w:szCs w:val="32"/>
        </w:rPr>
        <w:t>五到位</w:t>
      </w:r>
      <w:r>
        <w:rPr>
          <w:rFonts w:hint="eastAsia" w:ascii="仿宋_GB2312" w:eastAsia="仿宋_GB2312"/>
          <w:bCs/>
          <w:color w:val="000000"/>
          <w:sz w:val="32"/>
          <w:szCs w:val="32"/>
        </w:rPr>
        <w:t>”</w:t>
      </w:r>
      <w:r>
        <w:rPr>
          <w:rFonts w:ascii="仿宋_GB2312" w:eastAsia="仿宋_GB2312"/>
          <w:bCs/>
          <w:color w:val="000000"/>
          <w:sz w:val="32"/>
          <w:szCs w:val="32"/>
        </w:rPr>
        <w:t>。</w:t>
      </w:r>
      <w:r>
        <w:rPr>
          <w:rFonts w:eastAsia="仿宋_GB2312"/>
          <w:bCs/>
          <w:snapToGrid w:val="0"/>
          <w:color w:val="000000"/>
          <w:sz w:val="32"/>
          <w:szCs w:val="32"/>
        </w:rPr>
        <w:t>健全权威高效的责任落实机制，</w:t>
      </w:r>
      <w:r>
        <w:rPr>
          <w:rFonts w:hint="eastAsia" w:eastAsia="仿宋_GB2312"/>
          <w:bCs/>
          <w:snapToGrid w:val="0"/>
          <w:color w:val="000000"/>
          <w:sz w:val="32"/>
          <w:szCs w:val="32"/>
        </w:rPr>
        <w:t>完善</w:t>
      </w:r>
      <w:r>
        <w:rPr>
          <w:rFonts w:eastAsia="仿宋_GB2312"/>
          <w:snapToGrid w:val="0"/>
          <w:color w:val="000000"/>
          <w:sz w:val="32"/>
          <w:szCs w:val="32"/>
        </w:rPr>
        <w:t>应急管理责任追究制度</w:t>
      </w:r>
      <w:r>
        <w:rPr>
          <w:rFonts w:hint="eastAsia" w:eastAsia="仿宋_GB2312"/>
          <w:snapToGrid w:val="0"/>
          <w:color w:val="000000"/>
          <w:sz w:val="32"/>
          <w:szCs w:val="32"/>
        </w:rPr>
        <w:t>，</w:t>
      </w:r>
      <w:r>
        <w:rPr>
          <w:rFonts w:eastAsia="仿宋_GB2312"/>
          <w:bCs/>
          <w:snapToGrid w:val="0"/>
          <w:color w:val="000000"/>
          <w:sz w:val="32"/>
          <w:szCs w:val="32"/>
        </w:rPr>
        <w:t>切实加强对</w:t>
      </w:r>
      <w:r>
        <w:rPr>
          <w:rFonts w:eastAsia="仿宋_GB2312"/>
          <w:snapToGrid w:val="0"/>
          <w:color w:val="000000"/>
          <w:sz w:val="32"/>
          <w:szCs w:val="32"/>
        </w:rPr>
        <w:t>各方</w:t>
      </w:r>
      <w:r>
        <w:rPr>
          <w:rFonts w:eastAsia="仿宋_GB2312"/>
          <w:bCs/>
          <w:snapToGrid w:val="0"/>
          <w:color w:val="000000"/>
          <w:sz w:val="32"/>
          <w:szCs w:val="32"/>
        </w:rPr>
        <w:t>责任落实的评估和监督。</w:t>
      </w:r>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91" w:name="_Toc71183214"/>
      <w:bookmarkStart w:id="92" w:name="_Toc88430415"/>
      <w:r>
        <w:rPr>
          <w:rFonts w:hint="eastAsia" w:ascii="Times New Roman" w:hAnsi="Times New Roman" w:eastAsia="楷体" w:cs="Times New Roman"/>
          <w:bCs w:val="0"/>
          <w:lang w:eastAsia="zh-CN"/>
        </w:rPr>
        <w:t>（二）构建综合立体的风险管控体系，全面提升防范防治能力</w:t>
      </w:r>
      <w:bookmarkEnd w:id="91"/>
      <w:bookmarkEnd w:id="92"/>
    </w:p>
    <w:p>
      <w:pPr>
        <w:snapToGrid w:val="0"/>
        <w:spacing w:line="300" w:lineRule="auto"/>
        <w:ind w:firstLine="643" w:firstLineChars="200"/>
        <w:rPr>
          <w:rFonts w:ascii="仿宋_GB2312" w:eastAsia="仿宋_GB2312"/>
          <w:color w:val="auto"/>
          <w:sz w:val="32"/>
          <w:szCs w:val="32"/>
        </w:rPr>
      </w:pPr>
      <w:r>
        <w:rPr>
          <w:rFonts w:ascii="仿宋_GB2312" w:eastAsia="仿宋_GB2312"/>
          <w:b/>
          <w:color w:val="000000"/>
          <w:sz w:val="32"/>
          <w:szCs w:val="32"/>
        </w:rPr>
        <w:t>1.强化安全风险源头治理。</w:t>
      </w:r>
      <w:r>
        <w:rPr>
          <w:rFonts w:hint="eastAsia" w:ascii="仿宋_GB2312" w:eastAsia="仿宋_GB2312"/>
          <w:color w:val="auto"/>
          <w:sz w:val="32"/>
          <w:szCs w:val="32"/>
        </w:rPr>
        <w:t>完善安全风险源头治理体系，实现风险评估工作项目化、安全风险排查清单化、落实防控措施表单化、分类分级防控责任化。</w:t>
      </w:r>
      <w:r>
        <w:rPr>
          <w:rFonts w:ascii="仿宋_GB2312" w:eastAsia="仿宋_GB2312"/>
          <w:color w:val="auto"/>
          <w:sz w:val="32"/>
          <w:szCs w:val="32"/>
        </w:rPr>
        <w:t>科</w:t>
      </w:r>
      <w:r>
        <w:rPr>
          <w:rFonts w:ascii="仿宋_GB2312" w:eastAsia="仿宋_GB2312"/>
          <w:color w:val="000000"/>
          <w:sz w:val="32"/>
          <w:szCs w:val="32"/>
        </w:rPr>
        <w:t>学规划各类功能区空间布局，明确重点高危行业领域、重点控制区域企业安全准入标准，建立招商引资、项目建设安全风险评估制度。严格落实国家产业结构调整指导目录，推进产业结构调整，及时淘汰落后的安全技术工艺、设备，依法淘汰不符合安全生产国家标准、行业标准条件的产能。到202</w:t>
      </w:r>
      <w:r>
        <w:rPr>
          <w:rFonts w:hint="eastAsia" w:ascii="仿宋_GB2312" w:eastAsia="仿宋_GB2312"/>
          <w:color w:val="000000"/>
          <w:sz w:val="32"/>
          <w:szCs w:val="32"/>
        </w:rPr>
        <w:t>3</w:t>
      </w:r>
      <w:r>
        <w:rPr>
          <w:rFonts w:ascii="仿宋_GB2312" w:eastAsia="仿宋_GB2312"/>
          <w:color w:val="000000"/>
          <w:sz w:val="32"/>
          <w:szCs w:val="32"/>
        </w:rPr>
        <w:t>年</w:t>
      </w:r>
      <w:r>
        <w:rPr>
          <w:rFonts w:hint="eastAsia" w:ascii="仿宋_GB2312" w:eastAsia="仿宋_GB2312"/>
          <w:color w:val="000000"/>
          <w:sz w:val="32"/>
          <w:szCs w:val="32"/>
        </w:rPr>
        <w:t>，完成</w:t>
      </w:r>
      <w:r>
        <w:rPr>
          <w:rFonts w:ascii="仿宋_GB2312" w:eastAsia="仿宋_GB2312"/>
          <w:color w:val="000000"/>
          <w:sz w:val="32"/>
          <w:szCs w:val="32"/>
        </w:rPr>
        <w:t>化工产业</w:t>
      </w:r>
      <w:r>
        <w:rPr>
          <w:rFonts w:hint="eastAsia" w:ascii="仿宋_GB2312" w:eastAsia="仿宋_GB2312"/>
          <w:color w:val="000000"/>
          <w:sz w:val="32"/>
          <w:szCs w:val="32"/>
        </w:rPr>
        <w:t>“</w:t>
      </w:r>
      <w:r>
        <w:rPr>
          <w:rFonts w:ascii="仿宋_GB2312" w:eastAsia="仿宋_GB2312"/>
          <w:color w:val="000000"/>
          <w:sz w:val="32"/>
          <w:szCs w:val="32"/>
        </w:rPr>
        <w:t>禁限控</w:t>
      </w:r>
      <w:r>
        <w:rPr>
          <w:rFonts w:hint="eastAsia" w:ascii="仿宋_GB2312" w:eastAsia="仿宋_GB2312"/>
          <w:color w:val="000000"/>
          <w:sz w:val="32"/>
          <w:szCs w:val="32"/>
        </w:rPr>
        <w:t>”</w:t>
      </w:r>
      <w:r>
        <w:rPr>
          <w:rFonts w:ascii="仿宋_GB2312" w:eastAsia="仿宋_GB2312"/>
          <w:color w:val="000000"/>
          <w:sz w:val="32"/>
          <w:szCs w:val="32"/>
        </w:rPr>
        <w:t>目录制定。到2025年</w:t>
      </w:r>
      <w:r>
        <w:rPr>
          <w:rFonts w:hint="eastAsia" w:ascii="仿宋_GB2312" w:eastAsia="仿宋_GB2312"/>
          <w:color w:val="000000"/>
          <w:sz w:val="32"/>
          <w:szCs w:val="32"/>
        </w:rPr>
        <w:t>，</w:t>
      </w:r>
      <w:r>
        <w:rPr>
          <w:rFonts w:ascii="仿宋_GB2312" w:eastAsia="仿宋_GB2312"/>
          <w:color w:val="000000"/>
          <w:sz w:val="32"/>
          <w:szCs w:val="32"/>
        </w:rPr>
        <w:t>力争危化品生产企业入园率达到</w:t>
      </w:r>
      <w:r>
        <w:rPr>
          <w:rFonts w:hint="eastAsia" w:ascii="仿宋_GB2312" w:eastAsia="仿宋_GB2312"/>
          <w:color w:val="auto"/>
          <w:sz w:val="32"/>
          <w:szCs w:val="32"/>
        </w:rPr>
        <w:t>75</w:t>
      </w:r>
      <w:r>
        <w:rPr>
          <w:rFonts w:ascii="仿宋_GB2312" w:eastAsia="仿宋_GB2312"/>
          <w:color w:val="auto"/>
          <w:sz w:val="32"/>
          <w:szCs w:val="32"/>
        </w:rPr>
        <w:t>％以上。</w:t>
      </w:r>
      <w:r>
        <w:rPr>
          <w:rFonts w:hint="eastAsia" w:ascii="仿宋_GB2312" w:eastAsia="仿宋_GB2312"/>
          <w:color w:val="auto"/>
          <w:sz w:val="32"/>
          <w:szCs w:val="32"/>
        </w:rPr>
        <w:t>强化矿山源头安全管控，严格落实新办矿山联合踏勘工作制度，严把矿山安全生产许可，按照每年不低于10%的比例抽查矿山建设项目安全设施设计审查工作。防范化解尾矿库安全风险，采取“一库一策”分别落实综合治理、闭库销号、回采销库等风险管控与化解措施，确保尾矿库数量“只减不增”。</w:t>
      </w:r>
    </w:p>
    <w:p>
      <w:pPr>
        <w:snapToGrid w:val="0"/>
        <w:spacing w:line="300" w:lineRule="auto"/>
        <w:ind w:firstLine="643" w:firstLineChars="200"/>
        <w:rPr>
          <w:rFonts w:ascii="仿宋_GB2312" w:eastAsia="仿宋_GB2312"/>
          <w:color w:val="000000"/>
          <w:sz w:val="32"/>
          <w:szCs w:val="32"/>
        </w:rPr>
      </w:pPr>
      <w:r>
        <w:rPr>
          <w:rFonts w:ascii="仿宋_GB2312" w:eastAsia="仿宋_GB2312"/>
          <w:b/>
          <w:color w:val="000000"/>
          <w:sz w:val="32"/>
          <w:szCs w:val="32"/>
        </w:rPr>
        <w:t>2.提高安全风险辨识能力</w:t>
      </w:r>
      <w:r>
        <w:rPr>
          <w:rFonts w:hint="eastAsia" w:ascii="仿宋_GB2312" w:eastAsia="仿宋_GB2312"/>
          <w:b/>
          <w:color w:val="000000"/>
          <w:sz w:val="32"/>
          <w:szCs w:val="32"/>
        </w:rPr>
        <w:t>。</w:t>
      </w:r>
      <w:r>
        <w:rPr>
          <w:rFonts w:ascii="仿宋_GB2312" w:eastAsia="仿宋_GB2312"/>
          <w:color w:val="000000"/>
          <w:sz w:val="32"/>
          <w:szCs w:val="32"/>
        </w:rPr>
        <w:t>全面推进自然灾害风险普查与安全生产风险普查，健全完善各行业领域风险普查标准规范和实施细则，联合开展地质灾害、气象灾害、水旱灾害、森林火灾、地震等风险普查，落实灾害风险清单式管理</w:t>
      </w:r>
      <w:r>
        <w:rPr>
          <w:rFonts w:ascii="仿宋_GB2312" w:eastAsia="仿宋_GB2312"/>
          <w:color w:val="auto"/>
          <w:sz w:val="32"/>
          <w:szCs w:val="32"/>
        </w:rPr>
        <w:t>，</w:t>
      </w:r>
      <w:r>
        <w:rPr>
          <w:rFonts w:hint="eastAsia" w:ascii="仿宋_GB2312" w:eastAsia="仿宋_GB2312"/>
          <w:color w:val="auto"/>
          <w:sz w:val="32"/>
          <w:szCs w:val="32"/>
        </w:rPr>
        <w:t>加强</w:t>
      </w:r>
      <w:r>
        <w:rPr>
          <w:rFonts w:ascii="仿宋_GB2312" w:eastAsia="仿宋_GB2312"/>
          <w:color w:val="auto"/>
          <w:sz w:val="32"/>
          <w:szCs w:val="32"/>
        </w:rPr>
        <w:t>灾害</w:t>
      </w:r>
      <w:r>
        <w:rPr>
          <w:rFonts w:ascii="仿宋_GB2312" w:eastAsia="仿宋_GB2312"/>
          <w:color w:val="000000"/>
          <w:sz w:val="32"/>
          <w:szCs w:val="32"/>
        </w:rPr>
        <w:t>致灾因子调查与评估，完成重点防灾减灾工程隐患点排查，摸清全</w:t>
      </w:r>
      <w:r>
        <w:rPr>
          <w:rFonts w:hint="eastAsia" w:ascii="仿宋_GB2312" w:eastAsia="仿宋_GB2312"/>
          <w:color w:val="000000"/>
          <w:sz w:val="32"/>
          <w:szCs w:val="32"/>
        </w:rPr>
        <w:t>县</w:t>
      </w:r>
      <w:r>
        <w:rPr>
          <w:rFonts w:ascii="仿宋_GB2312" w:eastAsia="仿宋_GB2312"/>
          <w:color w:val="000000"/>
          <w:sz w:val="32"/>
          <w:szCs w:val="32"/>
        </w:rPr>
        <w:t>自然灾害风险隐患底数，建成分类型、分区域、分层级的自然灾害风险与减灾能力数据库，完成主要灾害风险、综合灾害风险评估与区划。开展企业安全生产风险普查，准确辨识生产工艺、设备设施、作业环境和管理体系等方面存在的安全风险，全面建立企业安全生产风险常普常新机制，动态识别更新各类安全风险隐患。</w:t>
      </w:r>
    </w:p>
    <w:p>
      <w:pPr>
        <w:snapToGrid w:val="0"/>
        <w:spacing w:line="300" w:lineRule="auto"/>
        <w:ind w:firstLine="643" w:firstLineChars="200"/>
        <w:rPr>
          <w:rFonts w:ascii="仿宋_GB2312" w:eastAsia="仿宋_GB2312"/>
          <w:color w:val="000000"/>
          <w:sz w:val="32"/>
          <w:szCs w:val="32"/>
        </w:rPr>
      </w:pPr>
      <w:r>
        <w:rPr>
          <w:rFonts w:hint="eastAsia" w:ascii="仿宋_GB2312" w:eastAsia="仿宋_GB2312"/>
          <w:b/>
          <w:color w:val="000000"/>
          <w:sz w:val="32"/>
          <w:szCs w:val="32"/>
        </w:rPr>
        <w:t>3</w:t>
      </w:r>
      <w:r>
        <w:rPr>
          <w:rFonts w:ascii="仿宋_GB2312" w:eastAsia="仿宋_GB2312"/>
          <w:b/>
          <w:color w:val="000000"/>
          <w:sz w:val="32"/>
          <w:szCs w:val="32"/>
        </w:rPr>
        <w:t>.</w:t>
      </w:r>
      <w:r>
        <w:rPr>
          <w:rFonts w:hint="eastAsia" w:ascii="仿宋_GB2312" w:eastAsia="仿宋_GB2312"/>
          <w:b/>
          <w:color w:val="000000"/>
          <w:sz w:val="32"/>
          <w:szCs w:val="32"/>
        </w:rPr>
        <w:t>精准实施</w:t>
      </w:r>
      <w:r>
        <w:rPr>
          <w:rFonts w:ascii="仿宋_GB2312" w:eastAsia="仿宋_GB2312"/>
          <w:b/>
          <w:color w:val="000000"/>
          <w:sz w:val="32"/>
          <w:szCs w:val="32"/>
        </w:rPr>
        <w:t>风险分级管控。</w:t>
      </w:r>
      <w:r>
        <w:rPr>
          <w:rFonts w:ascii="仿宋_GB2312" w:eastAsia="仿宋_GB2312"/>
          <w:color w:val="000000"/>
          <w:sz w:val="32"/>
          <w:szCs w:val="32"/>
        </w:rPr>
        <w:t>完善风险主动辨识、精准分析、及时管控机制。优化本地风险评估模型，根据行业、领域特点，针对管控对象、管控领域、管控区域等进行风险评估。基于智慧应急一张图，对风险进行时序化、空间化处理，形成风险分级防控图</w:t>
      </w:r>
      <w:r>
        <w:rPr>
          <w:rFonts w:hint="eastAsia" w:ascii="仿宋_GB2312" w:eastAsia="仿宋_GB2312"/>
          <w:color w:val="000000"/>
          <w:sz w:val="32"/>
          <w:szCs w:val="32"/>
        </w:rPr>
        <w:t>。</w:t>
      </w:r>
      <w:r>
        <w:rPr>
          <w:rFonts w:ascii="仿宋_GB2312" w:eastAsia="仿宋_GB2312"/>
          <w:color w:val="000000"/>
          <w:sz w:val="32"/>
          <w:szCs w:val="32"/>
        </w:rPr>
        <w:t>建立风险分析会商机制，加强对具有季节性、阶段性特点风险的分析研判</w:t>
      </w:r>
      <w:r>
        <w:rPr>
          <w:rFonts w:hint="eastAsia" w:ascii="仿宋_GB2312" w:eastAsia="仿宋_GB2312"/>
          <w:color w:val="000000"/>
          <w:sz w:val="32"/>
          <w:szCs w:val="32"/>
        </w:rPr>
        <w:t>。健全安全风险公告警示和重大安全风险预警机制，定期对红色、橙色安全风险进行分析、评估和预警。</w:t>
      </w:r>
      <w:r>
        <w:rPr>
          <w:rFonts w:ascii="仿宋_GB2312" w:eastAsia="仿宋_GB2312"/>
          <w:color w:val="000000"/>
          <w:sz w:val="32"/>
          <w:szCs w:val="32"/>
        </w:rPr>
        <w:t>完善</w:t>
      </w:r>
      <w:r>
        <w:rPr>
          <w:rFonts w:hint="eastAsia" w:ascii="仿宋_GB2312" w:eastAsia="仿宋_GB2312"/>
          <w:color w:val="000000"/>
          <w:sz w:val="32"/>
          <w:szCs w:val="32"/>
        </w:rPr>
        <w:t>重大风险联防联控机制，综合采取行业规划、产业政策、行政许可、科技推广、技术治理等手段，切实将重大风险降低至可接受水平, 加强风险管控工作的督查考核，推进安全风险管控由政府推动为主向企业自主开展转变，隐患排查治理由部门行政执法为主向企业日常自查自纠转变。</w:t>
      </w:r>
    </w:p>
    <w:p>
      <w:pPr>
        <w:snapToGrid w:val="0"/>
        <w:spacing w:line="300" w:lineRule="auto"/>
        <w:ind w:firstLine="643" w:firstLineChars="200"/>
        <w:rPr>
          <w:rFonts w:ascii="仿宋_GB2312" w:hAnsi="宋体" w:eastAsia="仿宋_GB2312" w:cs="宋体"/>
          <w:sz w:val="32"/>
          <w:szCs w:val="32"/>
        </w:rPr>
      </w:pPr>
      <w:r>
        <w:rPr>
          <w:rFonts w:hint="eastAsia" w:ascii="仿宋_GB2312" w:hAnsi="楷体" w:eastAsia="仿宋_GB2312"/>
          <w:b/>
          <w:sz w:val="32"/>
          <w:szCs w:val="32"/>
        </w:rPr>
        <w:t>4</w:t>
      </w:r>
      <w:r>
        <w:rPr>
          <w:rFonts w:ascii="仿宋_GB2312" w:hAnsi="楷体" w:eastAsia="仿宋_GB2312"/>
          <w:b/>
          <w:sz w:val="32"/>
          <w:szCs w:val="32"/>
        </w:rPr>
        <w:t>.</w:t>
      </w:r>
      <w:r>
        <w:rPr>
          <w:rFonts w:hint="eastAsia" w:ascii="仿宋_GB2312" w:hAnsi="楷体" w:eastAsia="仿宋_GB2312"/>
          <w:b/>
          <w:sz w:val="32"/>
          <w:szCs w:val="32"/>
        </w:rPr>
        <w:t>加强重大安全风险管控。</w:t>
      </w:r>
      <w:r>
        <w:rPr>
          <w:rFonts w:hint="eastAsia" w:ascii="仿宋_GB2312" w:hAnsi="宋体" w:eastAsia="仿宋_GB2312" w:cs="宋体"/>
          <w:sz w:val="32"/>
          <w:szCs w:val="32"/>
        </w:rPr>
        <w:t>全面落实安全生产综合治理三年行动。</w:t>
      </w:r>
      <w:r>
        <w:rPr>
          <w:rFonts w:ascii="仿宋_GB2312" w:hAnsi="宋体" w:eastAsia="仿宋_GB2312" w:cs="宋体"/>
          <w:sz w:val="32"/>
          <w:szCs w:val="32"/>
        </w:rPr>
        <w:t>针对安全生产薄弱环节和突出违法行为，务实开展重点领域专项整治工作。紧盯危险化学品、加工制造类小微企业和矿山、消防、道路交通、交通运输、城市建设、工业园区等功能区、危险废物等重点领域</w:t>
      </w:r>
      <w:r>
        <w:rPr>
          <w:rFonts w:hint="eastAsia" w:ascii="仿宋_GB2312" w:hAnsi="宋体" w:eastAsia="仿宋_GB2312" w:cs="宋体"/>
          <w:sz w:val="32"/>
          <w:szCs w:val="32"/>
        </w:rPr>
        <w:t>，开展“遏较大”攻坚行动，持续推进全覆盖、无盲区的隐患排查整治，划出防范控制的底线，制定有效的措施，提升全链条监管能力。</w:t>
      </w:r>
      <w:r>
        <w:rPr>
          <w:rFonts w:ascii="仿宋_GB2312" w:hAnsi="宋体" w:eastAsia="仿宋_GB2312" w:cs="宋体"/>
          <w:sz w:val="32"/>
          <w:szCs w:val="32"/>
        </w:rPr>
        <w:t>从消防基础设施、电气安全设施、高危和涉危企业的安全设施、应急通讯保障设施等角度强化重大安全生产风险防控实施建设，提升重点领域风险防控的精细化管理能效。深化企业安全生产标准化建设，严格落实企业标准化创建、复评、退出等机制，到2025年企业安全生产标准化达标率达到80%，其中高危行业企业和规模以上企业达标率达到100%。</w:t>
      </w:r>
      <w:r>
        <w:rPr>
          <w:rFonts w:hint="eastAsia" w:ascii="仿宋_GB2312" w:hAnsi="宋体" w:eastAsia="仿宋_GB2312" w:cs="宋体"/>
          <w:b/>
          <w:bCs/>
          <w:sz w:val="32"/>
          <w:szCs w:val="32"/>
        </w:rPr>
        <w:t>5</w:t>
      </w:r>
      <w:r>
        <w:rPr>
          <w:rFonts w:ascii="仿宋_GB2312" w:hAnsi="宋体" w:eastAsia="仿宋_GB2312" w:cs="宋体"/>
          <w:b/>
          <w:bCs/>
          <w:sz w:val="32"/>
          <w:szCs w:val="32"/>
        </w:rPr>
        <w:t>.</w:t>
      </w:r>
      <w:r>
        <w:t xml:space="preserve"> </w:t>
      </w:r>
      <w:r>
        <w:rPr>
          <w:rFonts w:ascii="仿宋_GB2312" w:hAnsi="宋体" w:eastAsia="仿宋_GB2312" w:cs="宋体"/>
          <w:b/>
          <w:bCs/>
          <w:sz w:val="32"/>
          <w:szCs w:val="32"/>
        </w:rPr>
        <w:t>加强自然灾害综合防治</w:t>
      </w:r>
      <w:r>
        <w:rPr>
          <w:rFonts w:hint="eastAsia" w:ascii="仿宋_GB2312" w:hAnsi="宋体" w:eastAsia="仿宋_GB2312" w:cs="宋体"/>
          <w:b/>
          <w:bCs/>
          <w:sz w:val="32"/>
          <w:szCs w:val="32"/>
        </w:rPr>
        <w:t>。</w:t>
      </w:r>
      <w:r>
        <w:rPr>
          <w:rFonts w:hint="eastAsia" w:ascii="仿宋_GB2312" w:hAnsi="宋体" w:eastAsia="仿宋_GB2312" w:cs="宋体"/>
          <w:sz w:val="32"/>
          <w:szCs w:val="32"/>
        </w:rPr>
        <w:t>基本建成与全县社会经济发展相适应的自然灾害预警、救助体系，健全安全生产和自然灾害防范协调机制，有效推进行业部门开展专业研判工作。加强县、乡镇（镇道）、村社三级灾害信息员队伍建设，组织开展</w:t>
      </w:r>
      <w:bookmarkStart w:id="93" w:name="_Hlk69165327"/>
      <w:r>
        <w:rPr>
          <w:rFonts w:hint="eastAsia" w:ascii="仿宋_GB2312" w:hAnsi="宋体" w:eastAsia="仿宋_GB2312" w:cs="宋体"/>
          <w:sz w:val="32"/>
          <w:szCs w:val="32"/>
        </w:rPr>
        <w:t>防汛防台</w:t>
      </w:r>
      <w:bookmarkEnd w:id="93"/>
      <w:r>
        <w:rPr>
          <w:rFonts w:hint="eastAsia" w:ascii="仿宋_GB2312" w:hAnsi="宋体" w:eastAsia="仿宋_GB2312" w:cs="宋体"/>
          <w:sz w:val="32"/>
          <w:szCs w:val="32"/>
        </w:rPr>
        <w:t>专题培训。完善避灾安置场所设施配备，引导社会组织积极参与减灾救灾，构建政府主导、多元联动、协同配合、有序参与的防灾减灾新格局，增强自然灾害风险防治能力。持续完善防汛防台“六个一”工作体系，即识别一张图、研判一张单、管控一张表、应急一指南、案例一个库、指挥一平台。到2025年，县级基层防汛防台体系标准化建设率达100%。</w:t>
      </w:r>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94" w:name="_Toc88430416"/>
      <w:r>
        <w:rPr>
          <w:rFonts w:hint="eastAsia" w:ascii="Times New Roman" w:hAnsi="Times New Roman" w:eastAsia="楷体" w:cs="Times New Roman"/>
          <w:bCs w:val="0"/>
          <w:lang w:eastAsia="zh-CN"/>
        </w:rPr>
        <w:t>（三）优化公正规范的监管执法体系，全面提升安全监管能力</w:t>
      </w:r>
      <w:bookmarkEnd w:id="94"/>
      <w:r>
        <w:rPr>
          <w:rFonts w:hint="eastAsia" w:ascii="Times New Roman" w:hAnsi="Times New Roman" w:eastAsia="楷体" w:cs="Times New Roman"/>
          <w:bCs w:val="0"/>
          <w:lang w:eastAsia="zh-CN"/>
        </w:rPr>
        <w:t xml:space="preserve"> </w:t>
      </w:r>
    </w:p>
    <w:p>
      <w:pPr>
        <w:snapToGrid w:val="0"/>
        <w:spacing w:line="300" w:lineRule="auto"/>
        <w:ind w:firstLine="643" w:firstLineChars="200"/>
        <w:rPr>
          <w:rFonts w:ascii="仿宋_GB2312" w:hAnsi="宋体" w:eastAsia="仿宋_GB2312" w:cs="宋体"/>
          <w:bCs/>
          <w:color w:val="auto"/>
          <w:sz w:val="32"/>
          <w:szCs w:val="32"/>
        </w:rPr>
      </w:pPr>
      <w:r>
        <w:rPr>
          <w:rFonts w:ascii="仿宋_GB2312" w:hAnsi="宋体" w:eastAsia="仿宋_GB2312" w:cs="宋体"/>
          <w:b/>
          <w:bCs/>
          <w:sz w:val="32"/>
          <w:szCs w:val="32"/>
        </w:rPr>
        <w:t>1.优化数字执法。</w:t>
      </w:r>
      <w:r>
        <w:rPr>
          <w:rFonts w:ascii="仿宋_GB2312" w:hAnsi="宋体" w:eastAsia="仿宋_GB2312" w:cs="宋体"/>
          <w:bCs/>
          <w:sz w:val="32"/>
          <w:szCs w:val="32"/>
        </w:rPr>
        <w:t>全面推行数字化执法</w:t>
      </w:r>
      <w:r>
        <w:rPr>
          <w:rFonts w:hint="eastAsia" w:ascii="仿宋_GB2312" w:hAnsi="宋体" w:eastAsia="仿宋_GB2312" w:cs="宋体"/>
          <w:bCs/>
          <w:sz w:val="32"/>
          <w:szCs w:val="32"/>
        </w:rPr>
        <w:t>，</w:t>
      </w:r>
      <w:r>
        <w:rPr>
          <w:rFonts w:ascii="仿宋_GB2312" w:hAnsi="宋体" w:eastAsia="仿宋_GB2312" w:cs="宋体"/>
          <w:bCs/>
          <w:sz w:val="32"/>
          <w:szCs w:val="32"/>
        </w:rPr>
        <w:t>实现案件审批网络化、流程规范化、监督全程化。全面使用“浙政钉•掌上执法系统”开展执法检查，统一检查表单，实现任务下派、现场检查、结果录入、整改复查、审核公示等全周期闭环应用，利用数字化监管方式，确保监管的公平公正。到2025年</w:t>
      </w:r>
      <w:r>
        <w:rPr>
          <w:rFonts w:hint="eastAsia" w:ascii="仿宋_GB2312" w:hAnsi="宋体" w:eastAsia="仿宋_GB2312" w:cs="宋体"/>
          <w:bCs/>
          <w:sz w:val="32"/>
          <w:szCs w:val="32"/>
        </w:rPr>
        <w:t>，</w:t>
      </w:r>
      <w:r>
        <w:rPr>
          <w:rFonts w:ascii="仿宋_GB2312" w:hAnsi="宋体" w:eastAsia="仿宋_GB2312" w:cs="宋体"/>
          <w:bCs/>
          <w:sz w:val="32"/>
          <w:szCs w:val="32"/>
        </w:rPr>
        <w:t>所有检查事项“掌上执法”率</w:t>
      </w:r>
      <w:r>
        <w:rPr>
          <w:rFonts w:hint="eastAsia" w:ascii="仿宋_GB2312" w:hAnsi="宋体" w:eastAsia="仿宋_GB2312" w:cs="宋体"/>
          <w:bCs/>
          <w:color w:val="auto"/>
          <w:sz w:val="32"/>
          <w:szCs w:val="32"/>
        </w:rPr>
        <w:t>保持在</w:t>
      </w:r>
      <w:r>
        <w:rPr>
          <w:rFonts w:ascii="仿宋_GB2312" w:hAnsi="宋体" w:eastAsia="仿宋_GB2312" w:cs="宋体"/>
          <w:bCs/>
          <w:color w:val="auto"/>
          <w:sz w:val="32"/>
          <w:szCs w:val="32"/>
        </w:rPr>
        <w:t>100%。</w:t>
      </w:r>
    </w:p>
    <w:p>
      <w:pPr>
        <w:snapToGrid w:val="0"/>
        <w:spacing w:line="300" w:lineRule="auto"/>
        <w:ind w:firstLine="643" w:firstLineChars="200"/>
        <w:rPr>
          <w:rFonts w:ascii="仿宋_GB2312" w:hAnsi="宋体" w:eastAsia="仿宋_GB2312" w:cs="宋体"/>
          <w:bCs/>
          <w:sz w:val="32"/>
          <w:szCs w:val="32"/>
        </w:rPr>
      </w:pPr>
      <w:r>
        <w:rPr>
          <w:rFonts w:ascii="仿宋_GB2312" w:hAnsi="宋体" w:eastAsia="仿宋_GB2312" w:cs="宋体"/>
          <w:b/>
          <w:bCs/>
          <w:sz w:val="32"/>
          <w:szCs w:val="32"/>
        </w:rPr>
        <w:t>2.强化执法能力。</w:t>
      </w:r>
      <w:r>
        <w:rPr>
          <w:rFonts w:ascii="仿宋_GB2312" w:hAnsi="宋体" w:eastAsia="仿宋_GB2312" w:cs="宋体"/>
          <w:bCs/>
          <w:sz w:val="32"/>
          <w:szCs w:val="32"/>
        </w:rPr>
        <w:t>加强安全生产执法队伍建设，结合乡镇综合执法改革工作，强化基层安全执法力量，推进安全生产执法规范化标准化建设。严格做好县、乡镇应急管理部门专业人才招录工作。拓展完善县应急管理专家库，不断强化安全生产、防灾减灾、消防救援等方面的专家队伍建设，完善专家管理制度，构建专家资源融合优化的共享平台，充分发挥各领域专家在决策咨询、执法检查、安全诊断、应急会商等方面的作用。依托信息化平台创新提升，深入实施企业全员安全生产责任制度，深化“双随机、一公开”行政执法检查与日常监管结合，坚持执法必严、违法必究。</w:t>
      </w:r>
      <w:r>
        <w:rPr>
          <w:rFonts w:hint="eastAsia" w:ascii="仿宋_GB2312" w:hAnsi="宋体" w:eastAsia="仿宋_GB2312" w:cs="宋体"/>
          <w:sz w:val="32"/>
          <w:szCs w:val="32"/>
        </w:rPr>
        <w:t>强化对重点行业领域的执法监督力度，常态化开展重点领域专项执法行动。</w:t>
      </w:r>
    </w:p>
    <w:p>
      <w:pPr>
        <w:snapToGrid w:val="0"/>
        <w:spacing w:line="300" w:lineRule="auto"/>
        <w:ind w:firstLine="643" w:firstLineChars="200"/>
        <w:rPr>
          <w:rFonts w:ascii="仿宋_GB2312" w:hAnsi="宋体" w:eastAsia="仿宋_GB2312" w:cs="宋体"/>
          <w:bCs/>
          <w:sz w:val="32"/>
          <w:szCs w:val="32"/>
        </w:rPr>
      </w:pPr>
      <w:r>
        <w:rPr>
          <w:rFonts w:ascii="仿宋_GB2312" w:hAnsi="宋体" w:eastAsia="仿宋_GB2312" w:cs="宋体"/>
          <w:b/>
          <w:bCs/>
          <w:sz w:val="32"/>
          <w:szCs w:val="32"/>
        </w:rPr>
        <w:t>3.落实责任追究。</w:t>
      </w:r>
      <w:r>
        <w:rPr>
          <w:rFonts w:ascii="仿宋_GB2312" w:hAnsi="宋体" w:eastAsia="仿宋_GB2312" w:cs="宋体"/>
          <w:bCs/>
          <w:sz w:val="32"/>
          <w:szCs w:val="32"/>
        </w:rPr>
        <w:t>建立健全事前审核、事中监控、事后检查的监督机制。依法公开行政执法职责、执法依据、执法程序、监督途径和执法结果等信息，提高行政执法透明度和公信力。规范执法过错纠正和责任追究程序，强化执法质量管控，加强对立案环节的监督，实行办案质量终身负责制和错案责任倒查问责制。</w:t>
      </w:r>
    </w:p>
    <w:p>
      <w:pPr>
        <w:snapToGrid w:val="0"/>
        <w:spacing w:line="300" w:lineRule="auto"/>
        <w:ind w:firstLine="643" w:firstLineChars="200"/>
        <w:rPr>
          <w:rFonts w:ascii="仿宋_GB2312" w:hAnsi="宋体" w:eastAsia="仿宋_GB2312" w:cs="宋体"/>
          <w:b/>
          <w:bCs/>
        </w:rPr>
      </w:pPr>
      <w:r>
        <w:rPr>
          <w:rFonts w:ascii="仿宋_GB2312" w:hAnsi="宋体" w:eastAsia="仿宋_GB2312" w:cs="宋体"/>
          <w:b/>
          <w:bCs/>
          <w:sz w:val="32"/>
          <w:szCs w:val="32"/>
        </w:rPr>
        <w:t>4.实现执法留痕。</w:t>
      </w:r>
      <w:r>
        <w:rPr>
          <w:rFonts w:ascii="仿宋_GB2312" w:hAnsi="宋体" w:eastAsia="仿宋_GB2312" w:cs="宋体"/>
          <w:bCs/>
          <w:sz w:val="32"/>
          <w:szCs w:val="32"/>
        </w:rPr>
        <w:t>保障落实执法装备，配齐执法记录仪、便携式检测仪、移动执法终端等执法专用装备，实现对执法活动的即时性、过程性、系统性管理。打通部门信息壁垒，推进开放共享，提升执法协同能力，制定统一规范的执法数据标准，明确执法信息共享的种类、范围、流程和使用方式。积极推进人工智能技术在行政执法实践中的运用</w:t>
      </w:r>
      <w:r>
        <w:rPr>
          <w:rFonts w:hint="eastAsia" w:ascii="仿宋_GB2312" w:hAnsi="宋体" w:eastAsia="仿宋_GB2312" w:cs="宋体"/>
          <w:bCs/>
          <w:sz w:val="32"/>
          <w:szCs w:val="32"/>
        </w:rPr>
        <w:t>。</w:t>
      </w:r>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95" w:name="_Toc88430417"/>
      <w:bookmarkStart w:id="96" w:name="_Toc71183216"/>
      <w:r>
        <w:rPr>
          <w:rFonts w:hint="eastAsia" w:ascii="Times New Roman" w:hAnsi="Times New Roman" w:eastAsia="楷体" w:cs="Times New Roman"/>
          <w:bCs w:val="0"/>
          <w:lang w:eastAsia="zh-CN"/>
        </w:rPr>
        <w:t>（四）构建示范引领的科技支撑体系，全面提升数字赋能水平</w:t>
      </w:r>
      <w:bookmarkEnd w:id="95"/>
      <w:bookmarkEnd w:id="96"/>
    </w:p>
    <w:p>
      <w:pPr>
        <w:adjustRightInd w:val="0"/>
        <w:snapToGrid w:val="0"/>
        <w:spacing w:line="300" w:lineRule="auto"/>
        <w:ind w:firstLine="643" w:firstLineChars="200"/>
        <w:rPr>
          <w:rFonts w:eastAsia="仿宋_GB2312"/>
          <w:bCs/>
          <w:snapToGrid w:val="0"/>
          <w:sz w:val="32"/>
          <w:szCs w:val="20"/>
        </w:rPr>
      </w:pPr>
      <w:r>
        <w:rPr>
          <w:rFonts w:eastAsia="仿宋_GB2312"/>
          <w:b/>
          <w:bCs/>
          <w:snapToGrid w:val="0"/>
          <w:sz w:val="32"/>
          <w:szCs w:val="20"/>
        </w:rPr>
        <w:t>1.迭代升级智慧应急信息平台。</w:t>
      </w:r>
      <w:r>
        <w:rPr>
          <w:rFonts w:eastAsia="仿宋_GB2312"/>
          <w:bCs/>
          <w:snapToGrid w:val="0"/>
          <w:sz w:val="32"/>
          <w:szCs w:val="20"/>
        </w:rPr>
        <w:t>进一步整合应急管理数据，加速共建共享，形成以综合应急指挥中心为核心，搭建与迭代“应急管理基础数据库”、“智慧应急一张图”、“应急管理卫星通信一张网”、“安全风险监测预警端”等四大基础平台，深化消防、水利、气象、交通等领域的智慧应用。借助大数据、人工智能等技术手段多途径模拟台风、地质灾害等重大自然灾害信息，</w:t>
      </w:r>
      <w:r>
        <w:rPr>
          <w:rFonts w:hint="eastAsia" w:eastAsia="仿宋_GB2312"/>
          <w:bCs/>
          <w:snapToGrid w:val="0"/>
          <w:sz w:val="32"/>
          <w:szCs w:val="20"/>
        </w:rPr>
        <w:t>及</w:t>
      </w:r>
      <w:r>
        <w:rPr>
          <w:rFonts w:eastAsia="仿宋_GB2312"/>
          <w:bCs/>
          <w:snapToGrid w:val="0"/>
          <w:sz w:val="32"/>
          <w:szCs w:val="20"/>
        </w:rPr>
        <w:t>道路交通、消防、危险化学品、建设施工、工矿、旅游、城市运行等</w:t>
      </w:r>
      <w:r>
        <w:rPr>
          <w:rFonts w:hint="eastAsia" w:eastAsia="仿宋_GB2312"/>
          <w:bCs/>
          <w:snapToGrid w:val="0"/>
          <w:sz w:val="32"/>
          <w:szCs w:val="20"/>
        </w:rPr>
        <w:t>安全监管</w:t>
      </w:r>
      <w:r>
        <w:rPr>
          <w:rFonts w:eastAsia="仿宋_GB2312"/>
          <w:bCs/>
          <w:snapToGrid w:val="0"/>
          <w:sz w:val="32"/>
          <w:szCs w:val="20"/>
        </w:rPr>
        <w:t>重点领域</w:t>
      </w:r>
      <w:r>
        <w:rPr>
          <w:rFonts w:hint="eastAsia" w:eastAsia="仿宋_GB2312"/>
          <w:bCs/>
          <w:snapToGrid w:val="0"/>
          <w:sz w:val="32"/>
          <w:szCs w:val="20"/>
        </w:rPr>
        <w:t>，</w:t>
      </w:r>
      <w:r>
        <w:rPr>
          <w:rFonts w:eastAsia="仿宋_GB2312"/>
          <w:bCs/>
          <w:snapToGrid w:val="0"/>
          <w:sz w:val="32"/>
          <w:szCs w:val="20"/>
        </w:rPr>
        <w:t>做到精准预测</w:t>
      </w:r>
      <w:r>
        <w:rPr>
          <w:rFonts w:hint="eastAsia" w:eastAsia="仿宋_GB2312"/>
          <w:bCs/>
          <w:snapToGrid w:val="0"/>
          <w:sz w:val="32"/>
          <w:szCs w:val="20"/>
        </w:rPr>
        <w:t>、</w:t>
      </w:r>
      <w:r>
        <w:rPr>
          <w:rFonts w:eastAsia="仿宋_GB2312"/>
          <w:bCs/>
          <w:snapToGrid w:val="0"/>
          <w:sz w:val="32"/>
          <w:szCs w:val="20"/>
        </w:rPr>
        <w:t>综合研判、联动处置、灾情评估</w:t>
      </w:r>
      <w:r>
        <w:rPr>
          <w:rFonts w:hint="eastAsia" w:eastAsia="仿宋_GB2312"/>
          <w:bCs/>
          <w:snapToGrid w:val="0"/>
          <w:sz w:val="32"/>
          <w:szCs w:val="20"/>
        </w:rPr>
        <w:t>。</w:t>
      </w:r>
    </w:p>
    <w:p>
      <w:pPr>
        <w:adjustRightInd w:val="0"/>
        <w:snapToGrid w:val="0"/>
        <w:spacing w:line="300" w:lineRule="auto"/>
        <w:ind w:firstLine="643" w:firstLineChars="200"/>
        <w:rPr>
          <w:rFonts w:eastAsia="仿宋_GB2312"/>
          <w:bCs/>
          <w:snapToGrid w:val="0"/>
          <w:sz w:val="32"/>
          <w:szCs w:val="20"/>
        </w:rPr>
      </w:pPr>
      <w:r>
        <w:rPr>
          <w:rFonts w:eastAsia="仿宋_GB2312"/>
          <w:b/>
          <w:bCs/>
          <w:snapToGrid w:val="0"/>
          <w:sz w:val="32"/>
          <w:szCs w:val="20"/>
        </w:rPr>
        <w:t>2.推进智能感知网络部署。</w:t>
      </w:r>
      <w:r>
        <w:rPr>
          <w:rFonts w:eastAsia="仿宋_GB2312"/>
          <w:bCs/>
          <w:snapToGrid w:val="0"/>
          <w:sz w:val="32"/>
          <w:szCs w:val="20"/>
        </w:rPr>
        <w:t>针对台风、洪水、地震、森林火灾、山体滑坡、泥石流等重大自然灾害，加强物联网、卫星遥感、无人飞机、监测雷达、三维激光扫描仪、专用车辆、空天地信息处理专用软件系统等先进技术与装备应用，逐步构建</w:t>
      </w:r>
      <w:r>
        <w:rPr>
          <w:rFonts w:eastAsia="仿宋_GB2312"/>
          <w:bCs/>
          <w:snapToGrid w:val="0"/>
          <w:color w:val="auto"/>
          <w:sz w:val="32"/>
          <w:szCs w:val="20"/>
        </w:rPr>
        <w:t>空天地一体</w:t>
      </w:r>
      <w:r>
        <w:rPr>
          <w:rFonts w:eastAsia="仿宋_GB2312"/>
          <w:bCs/>
          <w:snapToGrid w:val="0"/>
          <w:sz w:val="32"/>
          <w:szCs w:val="20"/>
        </w:rPr>
        <w:t>化的灾害监测感知体系，提高多灾种和灾害链综合监测感知能力。大力推动大型建筑、大型公用设施、地下管网及综合管廊、消防重点单位等的感知网络建设，为城市安全隐患及时预警提供精确、及时和有效感知数据。基于应急处置现场需求，加快应用智能传感、射频识别、音视频采集等感知技术，实时监测汇集现场感知数据，为灾害事故应急处置现场指挥调度、分析研判、辅助决策提供数据支撑。</w:t>
      </w:r>
    </w:p>
    <w:p>
      <w:pPr>
        <w:adjustRightInd w:val="0"/>
        <w:snapToGrid w:val="0"/>
        <w:spacing w:line="300" w:lineRule="auto"/>
        <w:ind w:firstLine="643" w:firstLineChars="200"/>
        <w:rPr>
          <w:rFonts w:eastAsia="仿宋_GB2312"/>
          <w:bCs/>
          <w:snapToGrid w:val="0"/>
          <w:sz w:val="32"/>
          <w:szCs w:val="20"/>
        </w:rPr>
      </w:pPr>
      <w:r>
        <w:rPr>
          <w:rFonts w:eastAsia="仿宋_GB2312"/>
          <w:b/>
          <w:bCs/>
          <w:snapToGrid w:val="0"/>
          <w:sz w:val="32"/>
          <w:szCs w:val="20"/>
        </w:rPr>
        <w:t>3.深化应急数字化示范应用。</w:t>
      </w:r>
      <w:r>
        <w:rPr>
          <w:rFonts w:eastAsia="仿宋_GB2312"/>
          <w:bCs/>
          <w:snapToGrid w:val="0"/>
          <w:sz w:val="32"/>
          <w:szCs w:val="20"/>
        </w:rPr>
        <w:t>加强应急数字化综合集成应用，拓展一体化、智能化、场景化多业务协同应用，进一步深化自然灾害“安全码”应用，拓展灾害风险“码上知”、人员“码上转”、救援“码上通”、灾情“码上报”等应用场景。探索推进大数据分析技术在气象短临预警、综合风险研判、受灾情况评估、突发事件人员伤亡情况分析等场景的运用。</w:t>
      </w:r>
    </w:p>
    <w:p>
      <w:pPr>
        <w:pStyle w:val="3"/>
        <w:snapToGrid w:val="0"/>
        <w:spacing w:before="120" w:after="120" w:line="300" w:lineRule="auto"/>
        <w:ind w:firstLine="643" w:firstLineChars="200"/>
        <w:rPr>
          <w:rFonts w:ascii="Times New Roman" w:hAnsi="Times New Roman" w:eastAsia="楷体" w:cs="Times New Roman"/>
          <w:bCs w:val="0"/>
          <w:lang w:eastAsia="zh-CN"/>
        </w:rPr>
      </w:pPr>
      <w:r>
        <w:rPr>
          <w:rFonts w:ascii="Times New Roman" w:hAnsi="Times New Roman" w:eastAsia="楷体" w:cs="Times New Roman"/>
          <w:bCs w:val="0"/>
          <w:lang w:eastAsia="zh-CN"/>
        </w:rPr>
        <w:tab/>
      </w:r>
      <w:bookmarkStart w:id="97" w:name="_Toc88430418"/>
      <w:r>
        <w:rPr>
          <w:rFonts w:hint="eastAsia" w:ascii="Times New Roman" w:hAnsi="Times New Roman" w:eastAsia="楷体" w:cs="Times New Roman"/>
          <w:bCs w:val="0"/>
          <w:lang w:eastAsia="zh-CN"/>
        </w:rPr>
        <w:t>（五）构建专业有序的应急救援体系，全面提升应急处置能力</w:t>
      </w:r>
      <w:bookmarkEnd w:id="97"/>
      <w:r>
        <w:rPr>
          <w:rFonts w:hint="eastAsia" w:ascii="Times New Roman" w:hAnsi="Times New Roman" w:eastAsia="楷体" w:cs="Times New Roman"/>
          <w:bCs w:val="0"/>
          <w:lang w:eastAsia="zh-CN"/>
        </w:rPr>
        <w:tab/>
      </w:r>
    </w:p>
    <w:p>
      <w:pPr>
        <w:snapToGrid w:val="0"/>
        <w:spacing w:line="300"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1</w:t>
      </w:r>
      <w:r>
        <w:rPr>
          <w:rFonts w:ascii="仿宋_GB2312" w:hAnsi="宋体" w:eastAsia="仿宋_GB2312" w:cs="宋体"/>
          <w:b/>
          <w:sz w:val="32"/>
          <w:szCs w:val="32"/>
        </w:rPr>
        <w:t>.加强应急救援队伍建设。</w:t>
      </w:r>
      <w:r>
        <w:rPr>
          <w:rFonts w:ascii="仿宋_GB2312" w:hAnsi="宋体" w:eastAsia="仿宋_GB2312" w:cs="宋体"/>
          <w:sz w:val="32"/>
          <w:szCs w:val="32"/>
        </w:rPr>
        <w:t>深化改革转型，加快消防救援队伍由单纯的防火救火向实施全灾种综合立体应急救援转变，增配相应物资装备，着力打造应急救援</w:t>
      </w:r>
      <w:r>
        <w:rPr>
          <w:rFonts w:hint="eastAsia" w:ascii="仿宋_GB2312" w:hAnsi="宋体" w:eastAsia="仿宋_GB2312" w:cs="宋体"/>
          <w:sz w:val="32"/>
          <w:szCs w:val="32"/>
        </w:rPr>
        <w:t>“</w:t>
      </w:r>
      <w:r>
        <w:rPr>
          <w:rFonts w:ascii="仿宋_GB2312" w:hAnsi="宋体" w:eastAsia="仿宋_GB2312" w:cs="宋体"/>
          <w:sz w:val="32"/>
          <w:szCs w:val="32"/>
        </w:rPr>
        <w:t>尖刀</w:t>
      </w:r>
      <w:r>
        <w:rPr>
          <w:rFonts w:hint="eastAsia" w:ascii="仿宋_GB2312" w:hAnsi="宋体" w:eastAsia="仿宋_GB2312" w:cs="宋体"/>
          <w:sz w:val="32"/>
          <w:szCs w:val="32"/>
        </w:rPr>
        <w:t>”</w:t>
      </w:r>
      <w:r>
        <w:rPr>
          <w:rFonts w:ascii="仿宋_GB2312" w:hAnsi="宋体" w:eastAsia="仿宋_GB2312" w:cs="宋体"/>
          <w:sz w:val="32"/>
          <w:szCs w:val="32"/>
        </w:rPr>
        <w:t>和</w:t>
      </w:r>
      <w:r>
        <w:rPr>
          <w:rFonts w:hint="eastAsia" w:ascii="仿宋_GB2312" w:hAnsi="宋体" w:eastAsia="仿宋_GB2312" w:cs="宋体"/>
          <w:sz w:val="32"/>
          <w:szCs w:val="32"/>
        </w:rPr>
        <w:t>“</w:t>
      </w:r>
      <w:r>
        <w:rPr>
          <w:rFonts w:ascii="仿宋_GB2312" w:hAnsi="宋体" w:eastAsia="仿宋_GB2312" w:cs="宋体"/>
          <w:sz w:val="32"/>
          <w:szCs w:val="32"/>
        </w:rPr>
        <w:t>拳头</w:t>
      </w:r>
      <w:r>
        <w:rPr>
          <w:rFonts w:hint="eastAsia" w:ascii="仿宋_GB2312" w:hAnsi="宋体" w:eastAsia="仿宋_GB2312" w:cs="宋体"/>
          <w:sz w:val="32"/>
          <w:szCs w:val="32"/>
        </w:rPr>
        <w:t>”</w:t>
      </w:r>
      <w:r>
        <w:rPr>
          <w:rFonts w:ascii="仿宋_GB2312" w:hAnsi="宋体" w:eastAsia="仿宋_GB2312" w:cs="宋体"/>
          <w:sz w:val="32"/>
          <w:szCs w:val="32"/>
        </w:rPr>
        <w:t>力量。制定各类专业应急队伍建设标准，按标准配置专兼职救援人员和技术装备，并不断优化专业应急救援队伍的规模和布局，有效推进危险化学品</w:t>
      </w:r>
      <w:r>
        <w:rPr>
          <w:rFonts w:hint="eastAsia" w:ascii="仿宋_GB2312" w:hAnsi="宋体" w:eastAsia="仿宋_GB2312" w:cs="宋体"/>
          <w:sz w:val="32"/>
          <w:szCs w:val="32"/>
        </w:rPr>
        <w:t>、</w:t>
      </w:r>
      <w:r>
        <w:rPr>
          <w:rFonts w:ascii="仿宋_GB2312" w:hAnsi="宋体" w:eastAsia="仿宋_GB2312" w:cs="宋体"/>
          <w:sz w:val="32"/>
          <w:szCs w:val="32"/>
        </w:rPr>
        <w:t>森林、特种设备等行业领域专业应急救援队伍能力提升。进一步推进</w:t>
      </w:r>
      <w:r>
        <w:rPr>
          <w:rFonts w:hint="eastAsia" w:ascii="仿宋_GB2312" w:hAnsi="宋体" w:eastAsia="仿宋_GB2312" w:cs="宋体"/>
          <w:sz w:val="32"/>
          <w:szCs w:val="32"/>
        </w:rPr>
        <w:t>乡镇（街道）</w:t>
      </w:r>
      <w:r>
        <w:rPr>
          <w:rFonts w:ascii="仿宋_GB2312" w:hAnsi="宋体" w:eastAsia="仿宋_GB2312" w:cs="宋体"/>
          <w:sz w:val="32"/>
          <w:szCs w:val="32"/>
        </w:rPr>
        <w:t>专职消防队伍建设，建设一批</w:t>
      </w:r>
      <w:r>
        <w:rPr>
          <w:rFonts w:hint="eastAsia" w:ascii="仿宋_GB2312" w:hAnsi="宋体" w:eastAsia="仿宋_GB2312" w:cs="宋体"/>
          <w:sz w:val="32"/>
          <w:szCs w:val="32"/>
        </w:rPr>
        <w:t>乡镇（街道）</w:t>
      </w:r>
      <w:r>
        <w:rPr>
          <w:rFonts w:ascii="仿宋_GB2312" w:hAnsi="宋体" w:eastAsia="仿宋_GB2312" w:cs="宋体"/>
          <w:sz w:val="32"/>
          <w:szCs w:val="32"/>
        </w:rPr>
        <w:t>专职消防站，提高现场先期快速处置能力。建立社会应急救援队伍信息库，加强社会应急救援队伍管理和专业化、系统化的培训演练，探索政府投入和社会捐助相结合的资金保障机制，鼓励政府部门、相关单位等购买社会应急救援力量应急服务，逐步</w:t>
      </w:r>
      <w:r>
        <w:rPr>
          <w:rFonts w:hint="eastAsia" w:ascii="仿宋_GB2312" w:hAnsi="宋体" w:eastAsia="仿宋_GB2312" w:cs="宋体"/>
          <w:sz w:val="32"/>
          <w:szCs w:val="32"/>
        </w:rPr>
        <w:t>形成</w:t>
      </w:r>
      <w:r>
        <w:rPr>
          <w:rFonts w:ascii="仿宋_GB2312" w:hAnsi="宋体" w:eastAsia="仿宋_GB2312" w:cs="宋体"/>
          <w:sz w:val="32"/>
          <w:szCs w:val="32"/>
        </w:rPr>
        <w:t>政府支持、项目化管理、社会化运作的社会应急救援长效服务机制。</w:t>
      </w:r>
    </w:p>
    <w:p>
      <w:pPr>
        <w:snapToGrid w:val="0"/>
        <w:spacing w:line="300"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2</w:t>
      </w:r>
      <w:r>
        <w:rPr>
          <w:rFonts w:ascii="仿宋_GB2312" w:hAnsi="宋体" w:eastAsia="仿宋_GB2312" w:cs="宋体"/>
          <w:b/>
          <w:sz w:val="32"/>
          <w:szCs w:val="32"/>
        </w:rPr>
        <w:t>.健全优化应急预案体系</w:t>
      </w:r>
      <w:r>
        <w:rPr>
          <w:rFonts w:hint="eastAsia" w:ascii="仿宋_GB2312" w:hAnsi="宋体" w:eastAsia="仿宋_GB2312" w:cs="宋体"/>
          <w:b/>
          <w:sz w:val="32"/>
          <w:szCs w:val="32"/>
        </w:rPr>
        <w:t>。</w:t>
      </w:r>
      <w:r>
        <w:rPr>
          <w:rFonts w:hint="eastAsia" w:ascii="仿宋_GB2312" w:hAnsi="宋体" w:eastAsia="仿宋_GB2312" w:cs="宋体"/>
          <w:sz w:val="32"/>
          <w:szCs w:val="32"/>
        </w:rPr>
        <w:t>推动全县应急预案、专项预案和部门预案的修订工作，构建覆盖全区域、全灾种、全行业、全层级、全过程的应急预案体系。乡镇（街道）结合自身实际及时修编属地分类应急预案，村（社区）编制综合性的“多案合一”应急手册。明确各类预案备案权限，将企业备案情况纳入监管执法内容，行业部门预案修订纳入部门考核内容，切实做到预案应备尽备。</w:t>
      </w:r>
      <w:r>
        <w:rPr>
          <w:rFonts w:hint="eastAsia" w:ascii="仿宋_GB2312" w:hAnsi="宋体" w:eastAsia="仿宋_GB2312" w:cs="宋体"/>
          <w:color w:val="auto"/>
          <w:sz w:val="32"/>
          <w:szCs w:val="32"/>
        </w:rPr>
        <w:t>加强</w:t>
      </w:r>
      <w:r>
        <w:rPr>
          <w:rFonts w:ascii="仿宋_GB2312" w:hAnsi="宋体" w:eastAsia="仿宋_GB2312" w:cs="宋体"/>
          <w:color w:val="auto"/>
          <w:sz w:val="32"/>
          <w:szCs w:val="32"/>
        </w:rPr>
        <w:t>风险评估和应急资源调查</w:t>
      </w:r>
      <w:r>
        <w:rPr>
          <w:rFonts w:hint="eastAsia" w:ascii="仿宋_GB2312" w:hAnsi="宋体" w:eastAsia="仿宋_GB2312" w:cs="宋体"/>
          <w:color w:val="auto"/>
          <w:sz w:val="32"/>
          <w:szCs w:val="32"/>
        </w:rPr>
        <w:t>研究、</w:t>
      </w:r>
      <w:r>
        <w:rPr>
          <w:rFonts w:ascii="仿宋_GB2312" w:hAnsi="宋体" w:eastAsia="仿宋_GB2312" w:cs="宋体"/>
          <w:color w:val="auto"/>
          <w:sz w:val="32"/>
          <w:szCs w:val="32"/>
        </w:rPr>
        <w:t>应急预案</w:t>
      </w:r>
      <w:r>
        <w:rPr>
          <w:rFonts w:hint="eastAsia" w:ascii="仿宋_GB2312" w:hAnsi="宋体" w:eastAsia="仿宋_GB2312" w:cs="宋体"/>
          <w:color w:val="auto"/>
          <w:sz w:val="32"/>
          <w:szCs w:val="32"/>
        </w:rPr>
        <w:t>与</w:t>
      </w:r>
      <w:r>
        <w:rPr>
          <w:rFonts w:ascii="仿宋_GB2312" w:hAnsi="宋体" w:eastAsia="仿宋_GB2312" w:cs="宋体"/>
          <w:color w:val="auto"/>
          <w:sz w:val="32"/>
          <w:szCs w:val="32"/>
        </w:rPr>
        <w:t>资源能力的匹配度</w:t>
      </w:r>
      <w:r>
        <w:rPr>
          <w:rFonts w:hint="eastAsia" w:ascii="仿宋_GB2312" w:hAnsi="宋体" w:eastAsia="仿宋_GB2312" w:cs="宋体"/>
          <w:color w:val="auto"/>
          <w:sz w:val="32"/>
          <w:szCs w:val="32"/>
        </w:rPr>
        <w:t>及</w:t>
      </w:r>
      <w:r>
        <w:rPr>
          <w:rFonts w:ascii="仿宋_GB2312" w:hAnsi="宋体" w:eastAsia="仿宋_GB2312" w:cs="宋体"/>
          <w:color w:val="auto"/>
          <w:sz w:val="32"/>
          <w:szCs w:val="32"/>
        </w:rPr>
        <w:t>各类各级应急预案的衔接性，</w:t>
      </w:r>
      <w:r>
        <w:rPr>
          <w:rFonts w:ascii="仿宋_GB2312" w:hAnsi="宋体" w:eastAsia="仿宋_GB2312" w:cs="宋体"/>
          <w:sz w:val="32"/>
          <w:szCs w:val="32"/>
        </w:rPr>
        <w:t>提高应急预案实用性</w:t>
      </w:r>
      <w:r>
        <w:rPr>
          <w:rFonts w:hint="eastAsia" w:ascii="仿宋_GB2312" w:hAnsi="宋体" w:eastAsia="仿宋_GB2312" w:cs="宋体"/>
          <w:sz w:val="32"/>
          <w:szCs w:val="32"/>
        </w:rPr>
        <w:t>。</w:t>
      </w:r>
    </w:p>
    <w:p>
      <w:pPr>
        <w:snapToGrid w:val="0"/>
        <w:spacing w:line="300"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3.构建立体化</w:t>
      </w:r>
      <w:r>
        <w:rPr>
          <w:rFonts w:ascii="仿宋_GB2312" w:hAnsi="宋体" w:eastAsia="仿宋_GB2312" w:cs="宋体"/>
          <w:b/>
          <w:sz w:val="32"/>
          <w:szCs w:val="32"/>
        </w:rPr>
        <w:t>应急指挥</w:t>
      </w:r>
      <w:r>
        <w:rPr>
          <w:rFonts w:hint="eastAsia" w:ascii="仿宋_GB2312" w:hAnsi="宋体" w:eastAsia="仿宋_GB2312" w:cs="宋体"/>
          <w:b/>
          <w:sz w:val="32"/>
          <w:szCs w:val="32"/>
        </w:rPr>
        <w:t>网络。</w:t>
      </w:r>
      <w:r>
        <w:rPr>
          <w:rFonts w:ascii="仿宋_GB2312" w:hAnsi="宋体" w:eastAsia="仿宋_GB2312" w:cs="宋体"/>
          <w:sz w:val="32"/>
          <w:szCs w:val="32"/>
        </w:rPr>
        <w:t>加强</w:t>
      </w:r>
      <w:r>
        <w:rPr>
          <w:rFonts w:hint="eastAsia" w:ascii="仿宋_GB2312" w:hAnsi="宋体" w:eastAsia="仿宋_GB2312" w:cs="宋体"/>
          <w:sz w:val="32"/>
          <w:szCs w:val="32"/>
        </w:rPr>
        <w:t>县</w:t>
      </w:r>
      <w:r>
        <w:rPr>
          <w:rFonts w:ascii="仿宋_GB2312" w:hAnsi="宋体" w:eastAsia="仿宋_GB2312" w:cs="宋体"/>
          <w:sz w:val="32"/>
          <w:szCs w:val="32"/>
        </w:rPr>
        <w:t>一体化网络应急指挥中心建设，建立健全网络应急指挥联动工作机制。完善</w:t>
      </w:r>
      <w:r>
        <w:rPr>
          <w:rFonts w:hint="eastAsia" w:ascii="仿宋_GB2312" w:hAnsi="宋体" w:eastAsia="仿宋_GB2312" w:cs="宋体"/>
          <w:sz w:val="32"/>
          <w:szCs w:val="32"/>
        </w:rPr>
        <w:t>县</w:t>
      </w:r>
      <w:r>
        <w:rPr>
          <w:rFonts w:ascii="仿宋_GB2312" w:hAnsi="宋体" w:eastAsia="仿宋_GB2312" w:cs="宋体"/>
          <w:sz w:val="32"/>
          <w:szCs w:val="32"/>
        </w:rPr>
        <w:t>、</w:t>
      </w:r>
      <w:r>
        <w:rPr>
          <w:rFonts w:hint="eastAsia" w:ascii="仿宋_GB2312" w:hAnsi="宋体" w:eastAsia="仿宋_GB2312" w:cs="宋体"/>
          <w:sz w:val="32"/>
          <w:szCs w:val="32"/>
        </w:rPr>
        <w:t>乡</w:t>
      </w:r>
      <w:r>
        <w:rPr>
          <w:rFonts w:ascii="仿宋_GB2312" w:hAnsi="宋体" w:eastAsia="仿宋_GB2312" w:cs="宋体"/>
          <w:sz w:val="32"/>
          <w:szCs w:val="32"/>
        </w:rPr>
        <w:t>镇（街道）指挥平台，配合实现视频会商系统</w:t>
      </w:r>
      <w:r>
        <w:rPr>
          <w:rFonts w:ascii="仿宋_GB2312" w:hAnsi="宋体" w:eastAsia="仿宋_GB2312" w:cs="宋体"/>
          <w:color w:val="auto"/>
          <w:sz w:val="32"/>
          <w:szCs w:val="32"/>
        </w:rPr>
        <w:t>省市</w:t>
      </w:r>
      <w:r>
        <w:rPr>
          <w:rFonts w:hint="eastAsia" w:ascii="仿宋_GB2312" w:hAnsi="宋体" w:eastAsia="仿宋_GB2312" w:cs="宋体"/>
          <w:color w:val="auto"/>
          <w:sz w:val="32"/>
          <w:szCs w:val="32"/>
        </w:rPr>
        <w:t>县乡</w:t>
      </w:r>
      <w:r>
        <w:rPr>
          <w:rFonts w:ascii="仿宋_GB2312" w:hAnsi="宋体" w:eastAsia="仿宋_GB2312" w:cs="宋体"/>
          <w:color w:val="auto"/>
          <w:sz w:val="32"/>
          <w:szCs w:val="32"/>
        </w:rPr>
        <w:t>村全</w:t>
      </w:r>
      <w:r>
        <w:rPr>
          <w:rFonts w:ascii="仿宋_GB2312" w:hAnsi="宋体" w:eastAsia="仿宋_GB2312" w:cs="宋体"/>
          <w:sz w:val="32"/>
          <w:szCs w:val="32"/>
        </w:rPr>
        <w:t>贯通，基层应急管理移动式指挥平台延伸至村（社区），加快形成横联</w:t>
      </w:r>
      <w:r>
        <w:rPr>
          <w:rFonts w:hint="eastAsia" w:ascii="仿宋_GB2312" w:hAnsi="宋体" w:eastAsia="仿宋_GB2312" w:cs="宋体"/>
          <w:sz w:val="32"/>
          <w:szCs w:val="32"/>
        </w:rPr>
        <w:t>县</w:t>
      </w:r>
      <w:r>
        <w:rPr>
          <w:rFonts w:ascii="仿宋_GB2312" w:hAnsi="宋体" w:eastAsia="仿宋_GB2312" w:cs="宋体"/>
          <w:sz w:val="32"/>
          <w:szCs w:val="32"/>
        </w:rPr>
        <w:t>级各有关部门、纵联</w:t>
      </w:r>
      <w:r>
        <w:rPr>
          <w:rFonts w:hint="eastAsia" w:ascii="仿宋_GB2312" w:hAnsi="宋体" w:eastAsia="仿宋_GB2312" w:cs="宋体"/>
          <w:sz w:val="32"/>
          <w:szCs w:val="32"/>
        </w:rPr>
        <w:t>县</w:t>
      </w:r>
      <w:r>
        <w:rPr>
          <w:rFonts w:ascii="仿宋_GB2312" w:hAnsi="宋体" w:eastAsia="仿宋_GB2312" w:cs="宋体"/>
          <w:sz w:val="32"/>
          <w:szCs w:val="32"/>
        </w:rPr>
        <w:t>、乡镇（街道）</w:t>
      </w:r>
      <w:r>
        <w:rPr>
          <w:rFonts w:hint="eastAsia" w:ascii="仿宋_GB2312" w:hAnsi="宋体" w:eastAsia="仿宋_GB2312" w:cs="宋体"/>
          <w:sz w:val="32"/>
          <w:szCs w:val="32"/>
        </w:rPr>
        <w:t>、</w:t>
      </w:r>
      <w:r>
        <w:rPr>
          <w:rFonts w:ascii="仿宋_GB2312" w:hAnsi="宋体" w:eastAsia="仿宋_GB2312" w:cs="宋体"/>
          <w:sz w:val="32"/>
          <w:szCs w:val="32"/>
        </w:rPr>
        <w:t>村（社区）协调联动的应急指挥</w:t>
      </w:r>
      <w:r>
        <w:rPr>
          <w:rFonts w:hint="eastAsia" w:ascii="仿宋_GB2312" w:hAnsi="宋体" w:eastAsia="仿宋_GB2312" w:cs="宋体"/>
          <w:sz w:val="32"/>
          <w:szCs w:val="32"/>
        </w:rPr>
        <w:t>网络</w:t>
      </w:r>
      <w:r>
        <w:rPr>
          <w:rFonts w:ascii="仿宋_GB2312" w:hAnsi="宋体" w:eastAsia="仿宋_GB2312" w:cs="宋体"/>
          <w:sz w:val="32"/>
          <w:szCs w:val="32"/>
        </w:rPr>
        <w:t>。推进应急指挥可视化工作，建立应急视频汇聚系统，全面接入公安、自然资源、交通、文旅、住建、水利、林业等相关视频监控资源，结合无人机、单兵、布控球等移动监控手段，确保第一时间实现突发事件现场可视化。2025年底前，在</w:t>
      </w:r>
      <w:r>
        <w:rPr>
          <w:rFonts w:hint="eastAsia" w:ascii="仿宋_GB2312" w:hAnsi="宋体" w:eastAsia="仿宋_GB2312" w:cs="宋体"/>
          <w:sz w:val="32"/>
          <w:szCs w:val="32"/>
        </w:rPr>
        <w:t>省、市</w:t>
      </w:r>
      <w:r>
        <w:rPr>
          <w:rFonts w:ascii="仿宋_GB2312" w:hAnsi="宋体" w:eastAsia="仿宋_GB2312" w:cs="宋体"/>
          <w:sz w:val="32"/>
          <w:szCs w:val="32"/>
        </w:rPr>
        <w:t>级应急</w:t>
      </w:r>
      <w:r>
        <w:rPr>
          <w:rFonts w:hint="eastAsia" w:ascii="仿宋_GB2312" w:hAnsi="宋体" w:eastAsia="仿宋_GB2312" w:cs="宋体"/>
          <w:sz w:val="32"/>
          <w:szCs w:val="32"/>
        </w:rPr>
        <w:t>管理</w:t>
      </w:r>
      <w:r>
        <w:rPr>
          <w:rFonts w:ascii="仿宋_GB2312" w:hAnsi="宋体" w:eastAsia="仿宋_GB2312" w:cs="宋体"/>
          <w:sz w:val="32"/>
          <w:szCs w:val="32"/>
        </w:rPr>
        <w:t>部门的指导协助下，实现</w:t>
      </w:r>
      <w:r>
        <w:rPr>
          <w:rFonts w:hint="eastAsia" w:ascii="仿宋_GB2312" w:hAnsi="宋体" w:eastAsia="仿宋_GB2312" w:cs="宋体"/>
          <w:sz w:val="32"/>
          <w:szCs w:val="32"/>
        </w:rPr>
        <w:t>县</w:t>
      </w:r>
      <w:r>
        <w:rPr>
          <w:rFonts w:ascii="仿宋_GB2312" w:hAnsi="宋体" w:eastAsia="仿宋_GB2312" w:cs="宋体"/>
          <w:sz w:val="32"/>
          <w:szCs w:val="32"/>
        </w:rPr>
        <w:t>、</w:t>
      </w:r>
      <w:r>
        <w:rPr>
          <w:rFonts w:hint="eastAsia" w:ascii="仿宋_GB2312" w:hAnsi="宋体" w:eastAsia="仿宋_GB2312" w:cs="宋体"/>
          <w:sz w:val="32"/>
          <w:szCs w:val="32"/>
        </w:rPr>
        <w:t>乡镇（街道）</w:t>
      </w:r>
      <w:r>
        <w:rPr>
          <w:rFonts w:ascii="仿宋_GB2312" w:hAnsi="宋体" w:eastAsia="仿宋_GB2312" w:cs="宋体"/>
          <w:sz w:val="32"/>
          <w:szCs w:val="32"/>
        </w:rPr>
        <w:t>、安全生产重点网格和重点监管企业的安全风险立体化监测、防控和应急救援数字化体系。</w:t>
      </w:r>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98" w:name="_Toc88430419"/>
      <w:bookmarkStart w:id="99" w:name="_Toc71183218"/>
      <w:r>
        <w:rPr>
          <w:rFonts w:hint="eastAsia" w:ascii="Times New Roman" w:hAnsi="Times New Roman" w:eastAsia="楷体" w:cs="Times New Roman"/>
          <w:bCs w:val="0"/>
          <w:lang w:eastAsia="zh-CN"/>
        </w:rPr>
        <w:t>（六）完善多元协作的减灾救灾体系，全面提升应急保障能力</w:t>
      </w:r>
      <w:bookmarkEnd w:id="98"/>
      <w:bookmarkEnd w:id="99"/>
    </w:p>
    <w:p>
      <w:pPr>
        <w:snapToGrid w:val="0"/>
        <w:spacing w:line="300" w:lineRule="auto"/>
        <w:ind w:firstLine="643" w:firstLineChars="200"/>
        <w:rPr>
          <w:rFonts w:eastAsia="仿宋_GB2312"/>
          <w:b/>
          <w:color w:val="000000"/>
          <w:sz w:val="32"/>
          <w:szCs w:val="32"/>
        </w:rPr>
      </w:pPr>
      <w:bookmarkStart w:id="100" w:name="_Toc57225571"/>
      <w:bookmarkStart w:id="101" w:name="_Toc56863805"/>
      <w:bookmarkStart w:id="102" w:name="_Toc56861312"/>
      <w:bookmarkStart w:id="103" w:name="_Toc57225514"/>
      <w:bookmarkStart w:id="104" w:name="_Toc30797"/>
      <w:bookmarkStart w:id="105" w:name="_Toc12031"/>
      <w:r>
        <w:rPr>
          <w:rFonts w:eastAsia="仿宋_GB2312"/>
          <w:b/>
          <w:color w:val="000000"/>
          <w:sz w:val="32"/>
          <w:szCs w:val="32"/>
        </w:rPr>
        <w:t>1.</w:t>
      </w:r>
      <w:r>
        <w:rPr>
          <w:rFonts w:hint="eastAsia" w:eastAsia="仿宋_GB2312"/>
          <w:b/>
          <w:color w:val="000000"/>
          <w:sz w:val="32"/>
          <w:szCs w:val="32"/>
        </w:rPr>
        <w:t>强化</w:t>
      </w:r>
      <w:r>
        <w:rPr>
          <w:rFonts w:eastAsia="仿宋_GB2312"/>
          <w:b/>
          <w:color w:val="000000"/>
          <w:sz w:val="32"/>
          <w:szCs w:val="32"/>
        </w:rPr>
        <w:t>自然灾害风险评估</w:t>
      </w:r>
      <w:bookmarkEnd w:id="100"/>
      <w:bookmarkEnd w:id="101"/>
      <w:bookmarkEnd w:id="102"/>
      <w:bookmarkEnd w:id="103"/>
      <w:bookmarkEnd w:id="104"/>
      <w:bookmarkEnd w:id="105"/>
      <w:r>
        <w:rPr>
          <w:rFonts w:hint="eastAsia" w:eastAsia="仿宋_GB2312"/>
          <w:b/>
          <w:color w:val="000000"/>
          <w:sz w:val="32"/>
          <w:szCs w:val="32"/>
        </w:rPr>
        <w:t>。</w:t>
      </w:r>
      <w:r>
        <w:rPr>
          <w:rFonts w:eastAsia="仿宋_GB2312"/>
          <w:bCs/>
          <w:color w:val="000000"/>
          <w:sz w:val="32"/>
          <w:szCs w:val="32"/>
        </w:rPr>
        <w:t>以</w:t>
      </w:r>
      <w:r>
        <w:rPr>
          <w:rFonts w:hint="eastAsia" w:eastAsia="仿宋_GB2312"/>
          <w:bCs/>
          <w:color w:val="000000"/>
          <w:sz w:val="32"/>
          <w:szCs w:val="32"/>
        </w:rPr>
        <w:t>乡镇（街道）</w:t>
      </w:r>
      <w:r>
        <w:rPr>
          <w:rFonts w:eastAsia="仿宋_GB2312"/>
          <w:bCs/>
          <w:color w:val="000000"/>
          <w:sz w:val="32"/>
          <w:szCs w:val="32"/>
        </w:rPr>
        <w:t>为单位开展气象灾害、森林火灾、地质灾害、易受台风暴雨等自然灾害风险调查，形成灾害风险</w:t>
      </w:r>
      <w:r>
        <w:rPr>
          <w:rFonts w:hint="eastAsia" w:eastAsia="仿宋_GB2312"/>
          <w:bCs/>
          <w:color w:val="000000"/>
          <w:sz w:val="32"/>
          <w:szCs w:val="32"/>
        </w:rPr>
        <w:t>“</w:t>
      </w:r>
      <w:r>
        <w:rPr>
          <w:rFonts w:eastAsia="仿宋_GB2312"/>
          <w:bCs/>
          <w:color w:val="000000"/>
          <w:sz w:val="32"/>
          <w:szCs w:val="32"/>
        </w:rPr>
        <w:t>一张图</w:t>
      </w:r>
      <w:r>
        <w:rPr>
          <w:rFonts w:hint="eastAsia" w:eastAsia="仿宋_GB2312"/>
          <w:bCs/>
          <w:color w:val="000000"/>
          <w:sz w:val="32"/>
          <w:szCs w:val="32"/>
        </w:rPr>
        <w:t>”</w:t>
      </w:r>
      <w:r>
        <w:rPr>
          <w:rFonts w:eastAsia="仿宋_GB2312"/>
          <w:bCs/>
          <w:color w:val="000000"/>
          <w:sz w:val="32"/>
          <w:szCs w:val="32"/>
        </w:rPr>
        <w:t>。开展自然灾害综合风险与减灾能力调查评估，建立自然灾害风险与减灾能力数据库，编制全</w:t>
      </w:r>
      <w:r>
        <w:rPr>
          <w:rFonts w:hint="eastAsia" w:eastAsia="仿宋_GB2312"/>
          <w:bCs/>
          <w:color w:val="000000"/>
          <w:sz w:val="32"/>
          <w:szCs w:val="32"/>
        </w:rPr>
        <w:t>县</w:t>
      </w:r>
      <w:r>
        <w:rPr>
          <w:rFonts w:eastAsia="仿宋_GB2312"/>
          <w:bCs/>
          <w:color w:val="000000"/>
          <w:sz w:val="32"/>
          <w:szCs w:val="32"/>
        </w:rPr>
        <w:t>灾害综合防治区划图。健全完善灾害风险防控体系，制定风险清单和隐患清单。加强森林火灾风险治理，构建点线面网格综合布局、全域防火分区施策、周边区域综合统筹机制</w:t>
      </w:r>
      <w:r>
        <w:rPr>
          <w:rFonts w:hint="eastAsia" w:eastAsia="仿宋_GB2312"/>
          <w:bCs/>
          <w:color w:val="000000"/>
          <w:sz w:val="32"/>
          <w:szCs w:val="32"/>
        </w:rPr>
        <w:t>，</w:t>
      </w:r>
      <w:r>
        <w:rPr>
          <w:rFonts w:eastAsia="仿宋_GB2312"/>
          <w:bCs/>
          <w:color w:val="000000"/>
          <w:sz w:val="32"/>
          <w:szCs w:val="32"/>
        </w:rPr>
        <w:t>突出森林</w:t>
      </w:r>
      <w:r>
        <w:rPr>
          <w:rFonts w:hint="eastAsia" w:eastAsia="仿宋_GB2312"/>
          <w:color w:val="auto"/>
          <w:sz w:val="32"/>
          <w:szCs w:val="32"/>
        </w:rPr>
        <w:t>“</w:t>
      </w:r>
      <w:r>
        <w:rPr>
          <w:rFonts w:eastAsia="仿宋_GB2312"/>
          <w:color w:val="auto"/>
          <w:sz w:val="32"/>
          <w:szCs w:val="32"/>
        </w:rPr>
        <w:t>引水灭火</w:t>
      </w:r>
      <w:r>
        <w:rPr>
          <w:rFonts w:hint="eastAsia" w:eastAsia="仿宋_GB2312"/>
          <w:color w:val="auto"/>
          <w:sz w:val="32"/>
          <w:szCs w:val="32"/>
        </w:rPr>
        <w:t>”</w:t>
      </w:r>
      <w:r>
        <w:rPr>
          <w:rFonts w:eastAsia="仿宋_GB2312"/>
          <w:color w:val="auto"/>
          <w:sz w:val="32"/>
          <w:szCs w:val="32"/>
        </w:rPr>
        <w:t>、</w:t>
      </w:r>
      <w:r>
        <w:rPr>
          <w:rFonts w:eastAsia="仿宋_GB2312"/>
          <w:bCs/>
          <w:color w:val="000000"/>
          <w:sz w:val="32"/>
          <w:szCs w:val="32"/>
        </w:rPr>
        <w:t>防火应急道路、生物阻隔带等基础性工程设施建设。督促安委办各有关成员单位切实履行三防职责，明确三防责任人</w:t>
      </w:r>
      <w:r>
        <w:rPr>
          <w:rFonts w:hint="eastAsia" w:eastAsia="仿宋_GB2312"/>
          <w:bCs/>
          <w:color w:val="000000"/>
          <w:sz w:val="32"/>
          <w:szCs w:val="32"/>
        </w:rPr>
        <w:t>，</w:t>
      </w:r>
      <w:r>
        <w:rPr>
          <w:rFonts w:eastAsia="仿宋_GB2312"/>
          <w:bCs/>
          <w:color w:val="000000"/>
          <w:sz w:val="32"/>
          <w:szCs w:val="32"/>
        </w:rPr>
        <w:t>坚持汛期常态化开展三防安全检查和隐患整治工作。</w:t>
      </w:r>
    </w:p>
    <w:p>
      <w:pPr>
        <w:snapToGrid w:val="0"/>
        <w:spacing w:line="300" w:lineRule="auto"/>
        <w:ind w:firstLine="643" w:firstLineChars="200"/>
        <w:rPr>
          <w:rFonts w:eastAsia="仿宋_GB2312"/>
          <w:bCs/>
          <w:color w:val="000000"/>
          <w:sz w:val="32"/>
          <w:szCs w:val="32"/>
        </w:rPr>
      </w:pPr>
      <w:bookmarkStart w:id="106" w:name="_Toc57225572"/>
      <w:bookmarkStart w:id="107" w:name="_Toc57225515"/>
      <w:bookmarkStart w:id="108" w:name="_Toc56863806"/>
      <w:bookmarkStart w:id="109" w:name="_Toc56861313"/>
      <w:bookmarkStart w:id="110" w:name="_Toc6972"/>
      <w:bookmarkStart w:id="111" w:name="_Toc19840"/>
      <w:r>
        <w:rPr>
          <w:rFonts w:eastAsia="仿宋_GB2312"/>
          <w:b/>
          <w:color w:val="000000"/>
          <w:sz w:val="32"/>
          <w:szCs w:val="32"/>
        </w:rPr>
        <w:t>2.强化灾害监测力量建设</w:t>
      </w:r>
      <w:bookmarkEnd w:id="106"/>
      <w:bookmarkEnd w:id="107"/>
      <w:bookmarkEnd w:id="108"/>
      <w:bookmarkEnd w:id="109"/>
      <w:bookmarkEnd w:id="110"/>
      <w:bookmarkEnd w:id="111"/>
      <w:r>
        <w:rPr>
          <w:rFonts w:hint="eastAsia" w:eastAsia="仿宋_GB2312"/>
          <w:b/>
          <w:color w:val="000000"/>
          <w:sz w:val="32"/>
          <w:szCs w:val="32"/>
        </w:rPr>
        <w:t>。</w:t>
      </w:r>
      <w:r>
        <w:rPr>
          <w:rFonts w:eastAsia="仿宋_GB2312"/>
          <w:bCs/>
          <w:color w:val="000000"/>
          <w:sz w:val="32"/>
          <w:szCs w:val="32"/>
        </w:rPr>
        <w:t>建立健</w:t>
      </w:r>
      <w:r>
        <w:rPr>
          <w:rFonts w:hint="eastAsia" w:eastAsia="仿宋_GB2312"/>
          <w:bCs/>
          <w:color w:val="000000"/>
          <w:sz w:val="32"/>
          <w:szCs w:val="32"/>
        </w:rPr>
        <w:t>县</w:t>
      </w:r>
      <w:r>
        <w:rPr>
          <w:rFonts w:eastAsia="仿宋_GB2312"/>
          <w:bCs/>
          <w:color w:val="000000"/>
          <w:sz w:val="32"/>
          <w:szCs w:val="32"/>
        </w:rPr>
        <w:t>、</w:t>
      </w:r>
      <w:r>
        <w:rPr>
          <w:rFonts w:hint="eastAsia" w:eastAsia="仿宋_GB2312"/>
          <w:bCs/>
          <w:color w:val="000000"/>
          <w:sz w:val="32"/>
          <w:szCs w:val="32"/>
        </w:rPr>
        <w:t>乡</w:t>
      </w:r>
      <w:r>
        <w:rPr>
          <w:rFonts w:eastAsia="仿宋_GB2312"/>
          <w:bCs/>
          <w:color w:val="000000"/>
          <w:sz w:val="32"/>
          <w:szCs w:val="32"/>
        </w:rPr>
        <w:t>镇</w:t>
      </w:r>
      <w:r>
        <w:rPr>
          <w:rFonts w:hint="eastAsia" w:eastAsia="仿宋_GB2312"/>
          <w:bCs/>
          <w:color w:val="000000"/>
          <w:sz w:val="32"/>
          <w:szCs w:val="32"/>
        </w:rPr>
        <w:t>（</w:t>
      </w:r>
      <w:r>
        <w:rPr>
          <w:rFonts w:eastAsia="仿宋_GB2312"/>
          <w:bCs/>
          <w:color w:val="000000"/>
          <w:sz w:val="32"/>
          <w:szCs w:val="32"/>
        </w:rPr>
        <w:t>街</w:t>
      </w:r>
      <w:r>
        <w:rPr>
          <w:rFonts w:hint="eastAsia" w:eastAsia="仿宋_GB2312"/>
          <w:bCs/>
          <w:color w:val="000000"/>
          <w:sz w:val="32"/>
          <w:szCs w:val="32"/>
        </w:rPr>
        <w:t>道）</w:t>
      </w:r>
      <w:r>
        <w:rPr>
          <w:rFonts w:eastAsia="仿宋_GB2312"/>
          <w:bCs/>
          <w:color w:val="000000"/>
          <w:sz w:val="32"/>
          <w:szCs w:val="32"/>
        </w:rPr>
        <w:t>、</w:t>
      </w:r>
      <w:r>
        <w:rPr>
          <w:rFonts w:hint="eastAsia" w:eastAsia="仿宋_GB2312"/>
          <w:bCs/>
          <w:color w:val="000000"/>
          <w:sz w:val="32"/>
          <w:szCs w:val="32"/>
        </w:rPr>
        <w:t>村（社区）</w:t>
      </w:r>
      <w:r>
        <w:rPr>
          <w:rFonts w:eastAsia="仿宋_GB2312"/>
          <w:bCs/>
          <w:color w:val="000000"/>
          <w:sz w:val="32"/>
          <w:szCs w:val="32"/>
        </w:rPr>
        <w:t>三级灾害信息员队伍体系</w:t>
      </w:r>
      <w:r>
        <w:rPr>
          <w:rFonts w:hint="eastAsia" w:eastAsia="仿宋_GB2312"/>
          <w:bCs/>
          <w:color w:val="000000"/>
          <w:sz w:val="32"/>
          <w:szCs w:val="32"/>
        </w:rPr>
        <w:t>，</w:t>
      </w:r>
      <w:r>
        <w:rPr>
          <w:rFonts w:eastAsia="仿宋_GB2312"/>
          <w:bCs/>
          <w:color w:val="000000"/>
          <w:sz w:val="32"/>
          <w:szCs w:val="32"/>
        </w:rPr>
        <w:t>通过专兼职相结合，</w:t>
      </w:r>
      <w:r>
        <w:rPr>
          <w:rFonts w:hint="eastAsia" w:eastAsia="仿宋_GB2312"/>
          <w:bCs/>
          <w:color w:val="000000"/>
          <w:sz w:val="32"/>
          <w:szCs w:val="32"/>
        </w:rPr>
        <w:t>配齐</w:t>
      </w:r>
      <w:r>
        <w:rPr>
          <w:rFonts w:eastAsia="仿宋_GB2312"/>
          <w:bCs/>
          <w:color w:val="000000"/>
          <w:sz w:val="32"/>
          <w:szCs w:val="32"/>
        </w:rPr>
        <w:t>灾害信息员队伍，</w:t>
      </w:r>
      <w:r>
        <w:rPr>
          <w:rFonts w:hint="eastAsia" w:eastAsia="仿宋_GB2312"/>
          <w:bCs/>
          <w:color w:val="000000"/>
          <w:sz w:val="32"/>
          <w:szCs w:val="32"/>
        </w:rPr>
        <w:t>通过</w:t>
      </w:r>
      <w:r>
        <w:rPr>
          <w:rFonts w:eastAsia="仿宋_GB2312"/>
          <w:bCs/>
          <w:color w:val="000000"/>
          <w:sz w:val="32"/>
          <w:szCs w:val="32"/>
        </w:rPr>
        <w:t>定期组织业务知识和技能培训</w:t>
      </w:r>
      <w:r>
        <w:rPr>
          <w:rFonts w:hint="eastAsia" w:eastAsia="仿宋_GB2312"/>
          <w:bCs/>
          <w:color w:val="000000"/>
          <w:sz w:val="32"/>
          <w:szCs w:val="32"/>
        </w:rPr>
        <w:t>，</w:t>
      </w:r>
      <w:r>
        <w:rPr>
          <w:rFonts w:eastAsia="仿宋_GB2312"/>
          <w:bCs/>
          <w:color w:val="000000"/>
          <w:sz w:val="32"/>
          <w:szCs w:val="32"/>
        </w:rPr>
        <w:t>提高灾害信息员素质</w:t>
      </w:r>
      <w:r>
        <w:rPr>
          <w:rFonts w:hint="eastAsia" w:eastAsia="仿宋_GB2312"/>
          <w:bCs/>
          <w:color w:val="000000"/>
          <w:sz w:val="32"/>
          <w:szCs w:val="32"/>
        </w:rPr>
        <w:t>，</w:t>
      </w:r>
      <w:r>
        <w:rPr>
          <w:rFonts w:eastAsia="仿宋_GB2312"/>
          <w:bCs/>
          <w:color w:val="000000"/>
          <w:sz w:val="32"/>
          <w:szCs w:val="32"/>
        </w:rPr>
        <w:t>确保第一时间掌握和报送灾情。建设公共核心监测网络，加快实施</w:t>
      </w:r>
      <w:r>
        <w:rPr>
          <w:rFonts w:hint="eastAsia" w:eastAsia="仿宋_GB2312"/>
          <w:bCs/>
          <w:color w:val="000000"/>
          <w:sz w:val="32"/>
          <w:szCs w:val="32"/>
        </w:rPr>
        <w:t>自然灾害、</w:t>
      </w:r>
      <w:r>
        <w:rPr>
          <w:rFonts w:eastAsia="仿宋_GB2312"/>
          <w:bCs/>
          <w:color w:val="000000"/>
          <w:sz w:val="32"/>
          <w:szCs w:val="32"/>
        </w:rPr>
        <w:t>森林火</w:t>
      </w:r>
      <w:r>
        <w:rPr>
          <w:rFonts w:hint="eastAsia" w:eastAsia="仿宋_GB2312"/>
          <w:bCs/>
          <w:color w:val="000000"/>
          <w:sz w:val="32"/>
          <w:szCs w:val="32"/>
        </w:rPr>
        <w:t>险、</w:t>
      </w:r>
      <w:r>
        <w:rPr>
          <w:rFonts w:eastAsia="仿宋_GB2312"/>
          <w:bCs/>
          <w:color w:val="000000"/>
          <w:sz w:val="32"/>
          <w:szCs w:val="32"/>
        </w:rPr>
        <w:t>地质灾害等专项监测能力提升工程</w:t>
      </w:r>
      <w:r>
        <w:rPr>
          <w:rFonts w:hint="eastAsia" w:eastAsia="仿宋_GB2312"/>
          <w:bCs/>
          <w:color w:val="000000"/>
          <w:sz w:val="32"/>
          <w:szCs w:val="32"/>
        </w:rPr>
        <w:t>，</w:t>
      </w:r>
      <w:r>
        <w:rPr>
          <w:rFonts w:eastAsia="仿宋_GB2312"/>
          <w:bCs/>
          <w:color w:val="000000"/>
          <w:sz w:val="32"/>
          <w:szCs w:val="32"/>
        </w:rPr>
        <w:t>建成灾害立体观测网络，实现对灾害的全天候、高时空分辨率、高精度连续监测</w:t>
      </w:r>
      <w:r>
        <w:rPr>
          <w:rFonts w:hint="eastAsia" w:eastAsia="仿宋_GB2312"/>
          <w:bCs/>
          <w:color w:val="000000"/>
          <w:sz w:val="32"/>
          <w:szCs w:val="32"/>
        </w:rPr>
        <w:t>。</w:t>
      </w:r>
    </w:p>
    <w:p>
      <w:pPr>
        <w:snapToGrid w:val="0"/>
        <w:spacing w:line="300" w:lineRule="auto"/>
        <w:ind w:firstLine="643" w:firstLineChars="200"/>
        <w:rPr>
          <w:rFonts w:ascii="仿宋_GB2312" w:eastAsia="仿宋_GB2312" w:hAnsiTheme="majorEastAsia"/>
          <w:b/>
          <w:bCs/>
          <w:color w:val="auto"/>
          <w:sz w:val="32"/>
          <w:szCs w:val="32"/>
        </w:rPr>
      </w:pPr>
      <w:bookmarkStart w:id="112" w:name="_Toc57225574"/>
      <w:bookmarkStart w:id="113" w:name="_Toc5648"/>
      <w:bookmarkStart w:id="114" w:name="_Toc56861315"/>
      <w:bookmarkStart w:id="115" w:name="_Toc57225517"/>
      <w:bookmarkStart w:id="116" w:name="_Toc56863808"/>
      <w:bookmarkStart w:id="117" w:name="_Toc22532"/>
      <w:r>
        <w:rPr>
          <w:rFonts w:hint="eastAsia" w:ascii="仿宋_GB2312" w:eastAsia="仿宋_GB2312" w:hAnsiTheme="majorEastAsia"/>
          <w:b/>
          <w:bCs/>
          <w:color w:val="000000"/>
          <w:sz w:val="32"/>
          <w:szCs w:val="32"/>
        </w:rPr>
        <w:t>3</w:t>
      </w:r>
      <w:r>
        <w:rPr>
          <w:rFonts w:ascii="仿宋_GB2312" w:eastAsia="仿宋_GB2312" w:hAnsiTheme="majorEastAsia"/>
          <w:b/>
          <w:bCs/>
          <w:color w:val="000000"/>
          <w:sz w:val="32"/>
          <w:szCs w:val="32"/>
        </w:rPr>
        <w:t>.</w:t>
      </w:r>
      <w:r>
        <w:rPr>
          <w:rFonts w:hint="eastAsia" w:ascii="仿宋_GB2312" w:eastAsia="仿宋_GB2312" w:hAnsiTheme="majorEastAsia"/>
          <w:b/>
          <w:bCs/>
          <w:color w:val="000000"/>
          <w:sz w:val="32"/>
          <w:szCs w:val="32"/>
        </w:rPr>
        <w:t>强化灾害救助体系。</w:t>
      </w:r>
      <w:r>
        <w:rPr>
          <w:rFonts w:hint="eastAsia" w:ascii="仿宋_GB2312" w:hAnsi="宋体" w:eastAsia="仿宋_GB2312" w:cs="宋体"/>
          <w:sz w:val="32"/>
          <w:szCs w:val="32"/>
        </w:rPr>
        <w:t>建立应急避灾安置场所建设统一管理制度，明确各部门管理职责。加快避灾安置场所规范化建设，在自然灾害多发乡镇（街道），加快建设综合性避难场所。健全抢险救灾工作制度，强化灾害调查评估，健全灾后重建工作机制，全力防范次生灾害发生，做好受灾群众基本生活救助</w:t>
      </w:r>
      <w:r>
        <w:rPr>
          <w:rFonts w:hint="eastAsia" w:ascii="仿宋_GB2312" w:hAnsi="宋体" w:eastAsia="仿宋_GB2312" w:cs="宋体"/>
          <w:color w:val="auto"/>
          <w:sz w:val="32"/>
          <w:szCs w:val="32"/>
        </w:rPr>
        <w:t xml:space="preserve">。强化应急避难场所的日常管理，做到可视化接入100%全覆盖。到2022年，乡镇（街道）避灾安置场所规范化建设率达到100%；到2025年，全县避灾安置场所规范化建设率达到100%，全县综合性救援力量建队率达到100%，应急物资标准配备率达100%。 </w:t>
      </w:r>
    </w:p>
    <w:bookmarkEnd w:id="112"/>
    <w:bookmarkEnd w:id="113"/>
    <w:bookmarkEnd w:id="114"/>
    <w:bookmarkEnd w:id="115"/>
    <w:bookmarkEnd w:id="116"/>
    <w:bookmarkEnd w:id="117"/>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118" w:name="_Toc71183219"/>
      <w:bookmarkStart w:id="119" w:name="_Toc88430420"/>
      <w:bookmarkStart w:id="120" w:name="_Toc70198154"/>
      <w:r>
        <w:rPr>
          <w:rFonts w:hint="eastAsia" w:ascii="Times New Roman" w:hAnsi="Times New Roman" w:eastAsia="楷体" w:cs="Times New Roman"/>
          <w:bCs w:val="0"/>
          <w:lang w:eastAsia="zh-CN"/>
        </w:rPr>
        <w:t>（七）构建共建共治的社会治理体系，全面提升全民应急能力</w:t>
      </w:r>
      <w:bookmarkEnd w:id="118"/>
      <w:bookmarkEnd w:id="119"/>
      <w:bookmarkEnd w:id="120"/>
    </w:p>
    <w:p>
      <w:pPr>
        <w:snapToGrid w:val="0"/>
        <w:spacing w:line="300" w:lineRule="auto"/>
        <w:ind w:firstLine="643" w:firstLineChars="200"/>
        <w:rPr>
          <w:rFonts w:ascii="仿宋_GB2312" w:hAnsi="宋体" w:eastAsia="仿宋_GB2312" w:cs="宋体"/>
          <w:sz w:val="32"/>
          <w:szCs w:val="32"/>
        </w:rPr>
      </w:pPr>
      <w:r>
        <w:rPr>
          <w:rFonts w:hint="eastAsia" w:ascii="仿宋_GB2312" w:eastAsia="仿宋_GB2312" w:hAnsiTheme="majorEastAsia"/>
          <w:b/>
          <w:bCs/>
          <w:color w:val="000000"/>
          <w:sz w:val="32"/>
          <w:szCs w:val="32"/>
        </w:rPr>
        <w:t>1.</w:t>
      </w:r>
      <w:r>
        <w:rPr>
          <w:rFonts w:ascii="仿宋_GB2312" w:hAnsi="宋体" w:eastAsia="仿宋_GB2312" w:cs="宋体"/>
          <w:b/>
          <w:sz w:val="32"/>
          <w:szCs w:val="32"/>
        </w:rPr>
        <w:t>完善应急安全科普宣教体系。</w:t>
      </w:r>
      <w:r>
        <w:rPr>
          <w:rFonts w:ascii="仿宋_GB2312" w:hAnsi="宋体" w:eastAsia="仿宋_GB2312" w:cs="宋体"/>
          <w:sz w:val="32"/>
          <w:szCs w:val="32"/>
        </w:rPr>
        <w:t>立足“大应急、大安全、大减灾”理念，加强部门协同、区域协同，有效整合各类宣传、教育、培训资源，完善应急安全科普宣教体系。将应急与安全知识教育纳入职业教育、技能教育、领导干部教育内容，重点加强基层防汛责任人和应急管理一线干部的培训。深入实施全民安全素养提升行动</w:t>
      </w:r>
      <w:r>
        <w:rPr>
          <w:rFonts w:hint="eastAsia" w:ascii="仿宋_GB2312" w:hAnsi="宋体" w:eastAsia="仿宋_GB2312" w:cs="宋体"/>
          <w:sz w:val="32"/>
          <w:szCs w:val="32"/>
        </w:rPr>
        <w:t>，持续推进“五进”(进企业、进农村、进社区、进学校、进家庭)宣传，营造起全社会关注、全民参与的良好氛围。</w:t>
      </w:r>
    </w:p>
    <w:p>
      <w:pPr>
        <w:snapToGrid w:val="0"/>
        <w:spacing w:line="300"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2.</w:t>
      </w:r>
      <w:r>
        <w:rPr>
          <w:rFonts w:ascii="仿宋_GB2312" w:hAnsi="宋体" w:eastAsia="仿宋_GB2312" w:cs="宋体"/>
          <w:b/>
          <w:sz w:val="32"/>
          <w:szCs w:val="32"/>
        </w:rPr>
        <w:t>加强应急安全宣教平台建设。</w:t>
      </w:r>
      <w:r>
        <w:rPr>
          <w:rFonts w:ascii="仿宋_GB2312" w:hAnsi="宋体" w:eastAsia="仿宋_GB2312" w:cs="宋体"/>
          <w:sz w:val="32"/>
          <w:szCs w:val="32"/>
        </w:rPr>
        <w:t>依托</w:t>
      </w:r>
      <w:r>
        <w:rPr>
          <w:rFonts w:hint="eastAsia" w:ascii="仿宋_GB2312" w:hAnsi="宋体" w:eastAsia="仿宋_GB2312" w:cs="宋体"/>
          <w:sz w:val="32"/>
          <w:szCs w:val="32"/>
        </w:rPr>
        <w:t>学校、</w:t>
      </w:r>
      <w:r>
        <w:rPr>
          <w:rFonts w:ascii="仿宋_GB2312" w:hAnsi="宋体" w:eastAsia="仿宋_GB2312" w:cs="宋体"/>
          <w:sz w:val="32"/>
          <w:szCs w:val="32"/>
        </w:rPr>
        <w:t>科技馆、避灾安置场所等，</w:t>
      </w:r>
      <w:r>
        <w:rPr>
          <w:rFonts w:hint="eastAsia" w:ascii="仿宋_GB2312" w:hAnsi="宋体" w:eastAsia="仿宋_GB2312" w:cs="宋体"/>
          <w:sz w:val="32"/>
          <w:szCs w:val="32"/>
        </w:rPr>
        <w:t>因地制宜建设公共安全教育培训基地，建设具有区域特色的应急文化示范基地、示范企业、示范社区、示范学校等，以点带面，切实提升基层应急安全教育的软硬件水平。</w:t>
      </w:r>
      <w:r>
        <w:rPr>
          <w:rFonts w:ascii="仿宋_GB2312" w:hAnsi="宋体" w:eastAsia="仿宋_GB2312" w:cs="宋体"/>
          <w:sz w:val="32"/>
          <w:szCs w:val="32"/>
        </w:rPr>
        <w:t>着眼新兴主流媒体平台,充分利用新媒体快捷性和广泛性等特点,加速全媒体融合发展，逐步形成“沟通型”“互动型”“贴近型”的科普宣教新平台，进一步维护社会稳定和人心安定。</w:t>
      </w:r>
    </w:p>
    <w:p>
      <w:pPr>
        <w:snapToGrid w:val="0"/>
        <w:spacing w:line="300"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3.</w:t>
      </w:r>
      <w:r>
        <w:rPr>
          <w:rFonts w:ascii="仿宋_GB2312" w:hAnsi="宋体" w:eastAsia="仿宋_GB2312" w:cs="宋体"/>
          <w:b/>
          <w:sz w:val="32"/>
          <w:szCs w:val="32"/>
        </w:rPr>
        <w:t>营造应急安全文化氛围。</w:t>
      </w:r>
      <w:r>
        <w:rPr>
          <w:rFonts w:ascii="仿宋_GB2312" w:hAnsi="宋体" w:eastAsia="仿宋_GB2312" w:cs="宋体"/>
          <w:sz w:val="32"/>
          <w:szCs w:val="32"/>
        </w:rPr>
        <w:t>注重传统媒体与新兴媒体融合互动，充分利用线上和线下宣传载体，多渠道、多形式、多领域开展安全生产、应急管理和防灾减灾救灾宣传教育，不断提升宣传教育传播力、引导力和影响力。创新开展“全国中小学生安全教育日”、“3•19</w:t>
      </w:r>
      <w:r>
        <w:rPr>
          <w:rFonts w:hint="eastAsia" w:ascii="仿宋_GB2312" w:hAnsi="宋体" w:eastAsia="仿宋_GB2312" w:cs="宋体"/>
          <w:sz w:val="32"/>
          <w:szCs w:val="32"/>
        </w:rPr>
        <w:t>森林消防</w:t>
      </w:r>
      <w:r>
        <w:rPr>
          <w:rFonts w:ascii="仿宋_GB2312" w:hAnsi="宋体" w:eastAsia="仿宋_GB2312" w:cs="宋体"/>
          <w:sz w:val="32"/>
          <w:szCs w:val="32"/>
        </w:rPr>
        <w:t>日” “5•12防灾减灾日”、“</w:t>
      </w:r>
      <w:r>
        <w:rPr>
          <w:rFonts w:hint="eastAsia" w:ascii="仿宋_GB2312" w:hAnsi="宋体" w:eastAsia="仿宋_GB2312" w:cs="宋体"/>
          <w:sz w:val="32"/>
          <w:szCs w:val="32"/>
        </w:rPr>
        <w:t>10</w:t>
      </w:r>
      <w:r>
        <w:rPr>
          <w:rFonts w:ascii="仿宋_GB2312" w:hAnsi="宋体" w:eastAsia="仿宋_GB2312" w:cs="宋体"/>
          <w:sz w:val="32"/>
          <w:szCs w:val="32"/>
        </w:rPr>
        <w:t>•13</w:t>
      </w:r>
      <w:r>
        <w:rPr>
          <w:rFonts w:hint="eastAsia" w:ascii="仿宋_GB2312" w:hAnsi="宋体" w:eastAsia="仿宋_GB2312" w:cs="宋体"/>
          <w:sz w:val="32"/>
          <w:szCs w:val="32"/>
        </w:rPr>
        <w:t>国际减灾</w:t>
      </w:r>
      <w:r>
        <w:rPr>
          <w:rFonts w:ascii="仿宋_GB2312" w:hAnsi="宋体" w:eastAsia="仿宋_GB2312" w:cs="宋体"/>
          <w:sz w:val="32"/>
          <w:szCs w:val="32"/>
        </w:rPr>
        <w:t>日”和“安全生产月”等公共安全主题教育活动，向群众普及安全生产和应急管理相关法律法规</w:t>
      </w:r>
      <w:r>
        <w:rPr>
          <w:rFonts w:hint="eastAsia" w:ascii="仿宋_GB2312" w:hAnsi="宋体" w:eastAsia="仿宋_GB2312" w:cs="宋体"/>
          <w:sz w:val="32"/>
          <w:szCs w:val="32"/>
        </w:rPr>
        <w:t>、</w:t>
      </w:r>
      <w:r>
        <w:rPr>
          <w:rFonts w:ascii="仿宋_GB2312" w:hAnsi="宋体" w:eastAsia="仿宋_GB2312" w:cs="宋体"/>
          <w:sz w:val="32"/>
          <w:szCs w:val="32"/>
        </w:rPr>
        <w:t>规范</w:t>
      </w:r>
      <w:r>
        <w:rPr>
          <w:rFonts w:hint="eastAsia" w:ascii="仿宋_GB2312" w:hAnsi="宋体" w:eastAsia="仿宋_GB2312" w:cs="宋体"/>
          <w:sz w:val="32"/>
          <w:szCs w:val="32"/>
        </w:rPr>
        <w:t>标准和应急常识</w:t>
      </w:r>
      <w:r>
        <w:rPr>
          <w:rFonts w:ascii="仿宋_GB2312" w:hAnsi="宋体" w:eastAsia="仿宋_GB2312" w:cs="宋体"/>
          <w:sz w:val="32"/>
          <w:szCs w:val="32"/>
        </w:rPr>
        <w:t>。定期组织开展避险避灾逃生演练，切实提升公众自防自救能力。推动各类企事业单位创新开展内部应急安全文化建设，形成各具特色、百花齐放的应急安全文化氛围。</w:t>
      </w:r>
      <w:bookmarkEnd w:id="85"/>
      <w:bookmarkEnd w:id="86"/>
      <w:bookmarkEnd w:id="87"/>
      <w:bookmarkEnd w:id="88"/>
      <w:bookmarkEnd w:id="89"/>
      <w:bookmarkEnd w:id="90"/>
      <w:bookmarkStart w:id="121" w:name="_Toc28183"/>
      <w:bookmarkStart w:id="122" w:name="_Toc8766"/>
      <w:bookmarkStart w:id="123" w:name="_Toc15705"/>
      <w:bookmarkStart w:id="124" w:name="_Toc10206"/>
      <w:bookmarkStart w:id="125" w:name="_Toc14714"/>
      <w:bookmarkStart w:id="126" w:name="_Toc21435"/>
      <w:bookmarkStart w:id="127" w:name="_Toc22781"/>
      <w:bookmarkStart w:id="128" w:name="_Toc11961"/>
      <w:bookmarkStart w:id="129" w:name="_Toc22852"/>
    </w:p>
    <w:p>
      <w:pPr>
        <w:snapToGrid w:val="0"/>
        <w:spacing w:line="300" w:lineRule="auto"/>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4.健全社会化服务机制。</w:t>
      </w:r>
      <w:r>
        <w:rPr>
          <w:rFonts w:ascii="仿宋_GB2312" w:hAnsi="宋体" w:eastAsia="仿宋_GB2312" w:cs="宋体"/>
          <w:sz w:val="32"/>
          <w:szCs w:val="32"/>
        </w:rPr>
        <w:t>坚持政策引导、部门推动、市场运作的原则，以服务政府安全监管监察、服务企业安全生产、服务公众安全教育为导向，加快建立主体多元、覆盖全面、综合配套、机制灵活、运转高效的基层安全生产社会化服务体系。大力发展应急管理社会化服务，鼓励、引导高校、科研院所、社会专业机构等积极参与社会化服务。健全社会化服务制度，拓展社会化服务模式，采取政府购买、行业互助、企业自助、“保险+服务+科技”等形式，推广专家工作站、企业互助平台、安全生产体检站等参与基层社会共治管理新模式。健全监督管理制度，建立支持培育、违规退出机制，进一步规范安全生产、自然灾害防治第三方机构，充分发挥专业机构和人才在安全生产、防灾减灾和应急救援中的重要作用，依托省社会化服务信息平台加强社会化服务监督管理，健全考核评价和惩戒淘汰机制，引导技术服务市场健康有序发展。</w:t>
      </w:r>
    </w:p>
    <w:bookmarkEnd w:id="121"/>
    <w:bookmarkEnd w:id="122"/>
    <w:bookmarkEnd w:id="123"/>
    <w:bookmarkEnd w:id="124"/>
    <w:bookmarkEnd w:id="125"/>
    <w:bookmarkEnd w:id="126"/>
    <w:bookmarkEnd w:id="127"/>
    <w:bookmarkEnd w:id="128"/>
    <w:bookmarkEnd w:id="129"/>
    <w:p>
      <w:pPr>
        <w:pStyle w:val="2"/>
        <w:snapToGrid w:val="0"/>
        <w:spacing w:before="120" w:after="120" w:line="300" w:lineRule="auto"/>
        <w:ind w:firstLine="643" w:firstLineChars="200"/>
        <w:jc w:val="left"/>
        <w:rPr>
          <w:rFonts w:eastAsia="黑体"/>
          <w:lang w:bidi="zh-TW"/>
        </w:rPr>
      </w:pPr>
      <w:bookmarkStart w:id="130" w:name="_Toc28694"/>
      <w:bookmarkStart w:id="131" w:name="_Toc7484"/>
      <w:bookmarkStart w:id="132" w:name="_Toc32163"/>
      <w:bookmarkStart w:id="133" w:name="_Toc1120"/>
      <w:bookmarkStart w:id="134" w:name="_Toc27749"/>
      <w:bookmarkStart w:id="135" w:name="_Toc22985"/>
      <w:bookmarkStart w:id="136" w:name="_Toc88430421"/>
      <w:bookmarkStart w:id="137" w:name="_Toc16678"/>
      <w:bookmarkStart w:id="138" w:name="_Toc21333"/>
      <w:bookmarkStart w:id="139" w:name="_Toc30371"/>
      <w:r>
        <w:rPr>
          <w:rFonts w:hint="eastAsia" w:eastAsia="黑体"/>
          <w:lang w:bidi="zh-TW"/>
        </w:rPr>
        <w:t>四、重点工程</w:t>
      </w:r>
      <w:bookmarkEnd w:id="130"/>
      <w:bookmarkEnd w:id="131"/>
      <w:bookmarkEnd w:id="132"/>
      <w:bookmarkEnd w:id="133"/>
      <w:bookmarkEnd w:id="134"/>
      <w:bookmarkEnd w:id="135"/>
      <w:bookmarkEnd w:id="136"/>
      <w:bookmarkEnd w:id="137"/>
      <w:bookmarkEnd w:id="138"/>
      <w:bookmarkEnd w:id="139"/>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140" w:name="_Toc4235"/>
      <w:bookmarkStart w:id="141" w:name="_Toc8593"/>
      <w:bookmarkStart w:id="142" w:name="_Toc31080"/>
      <w:bookmarkStart w:id="143" w:name="_Toc20653"/>
      <w:bookmarkStart w:id="144" w:name="_Toc10072"/>
      <w:bookmarkStart w:id="145" w:name="_Toc17600"/>
      <w:bookmarkStart w:id="146" w:name="_Toc607"/>
      <w:bookmarkStart w:id="147" w:name="_Toc7083"/>
      <w:bookmarkStart w:id="148" w:name="_Toc4702"/>
      <w:bookmarkStart w:id="149" w:name="_Toc88430422"/>
      <w:r>
        <w:rPr>
          <w:rFonts w:hint="eastAsia" w:ascii="Times New Roman" w:hAnsi="Times New Roman" w:eastAsia="楷体" w:cs="Times New Roman"/>
          <w:bCs w:val="0"/>
          <w:lang w:eastAsia="zh-CN"/>
        </w:rPr>
        <w:t>（一）</w:t>
      </w:r>
      <w:bookmarkEnd w:id="140"/>
      <w:bookmarkEnd w:id="141"/>
      <w:bookmarkEnd w:id="142"/>
      <w:bookmarkEnd w:id="143"/>
      <w:bookmarkEnd w:id="144"/>
      <w:r>
        <w:rPr>
          <w:rFonts w:hint="eastAsia" w:ascii="Times New Roman" w:hAnsi="Times New Roman" w:eastAsia="楷体" w:cs="Times New Roman"/>
          <w:bCs w:val="0"/>
          <w:lang w:eastAsia="zh-CN"/>
        </w:rPr>
        <w:t>重点行业领域整治提升工程</w:t>
      </w:r>
      <w:bookmarkEnd w:id="145"/>
      <w:bookmarkEnd w:id="146"/>
      <w:bookmarkEnd w:id="147"/>
      <w:bookmarkEnd w:id="148"/>
      <w:bookmarkEnd w:id="149"/>
    </w:p>
    <w:p>
      <w:pPr>
        <w:snapToGrid w:val="0"/>
        <w:spacing w:line="300" w:lineRule="auto"/>
        <w:ind w:firstLine="640" w:firstLineChars="200"/>
        <w:rPr>
          <w:rFonts w:ascii="仿宋_GB2312" w:hAnsi="宋体" w:eastAsia="仿宋_GB2312" w:cs="宋体"/>
          <w:sz w:val="32"/>
          <w:szCs w:val="32"/>
        </w:rPr>
      </w:pPr>
      <w:bookmarkStart w:id="150" w:name="_Toc67597457"/>
      <w:r>
        <w:rPr>
          <w:rFonts w:hint="eastAsia" w:ascii="仿宋_GB2312" w:hAnsi="宋体" w:eastAsia="仿宋_GB2312" w:cs="宋体"/>
          <w:sz w:val="32"/>
          <w:szCs w:val="32"/>
        </w:rPr>
        <w:t>深化重点行业领域安全整治，紧盯危化品、矿山、危险废物、消防等，全面排查整治安全隐患，加快建立公共安全隐患排查和安全预防控制体系，完善标本兼治消除事故隐患的责任链条、制度办法、工作机制和保障措施，推进安全生产能力现代化。</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522" w:type="dxa"/>
            <w:vAlign w:val="center"/>
          </w:tcPr>
          <w:p>
            <w:pPr>
              <w:snapToGrid w:val="0"/>
              <w:spacing w:line="300" w:lineRule="auto"/>
              <w:jc w:val="center"/>
              <w:rPr>
                <w:rFonts w:eastAsia="宋体"/>
                <w:b/>
                <w:bCs/>
                <w:sz w:val="32"/>
                <w:szCs w:val="32"/>
                <w:shd w:val="clear" w:color="auto" w:fill="FFFFFF"/>
              </w:rPr>
            </w:pPr>
            <w:r>
              <w:rPr>
                <w:rFonts w:eastAsia="黑体"/>
                <w:sz w:val="28"/>
                <w:szCs w:val="28"/>
                <w:shd w:val="clear" w:color="auto" w:fill="FFFFFF"/>
              </w:rPr>
              <w:t>专栏</w:t>
            </w:r>
            <w:r>
              <w:rPr>
                <w:rFonts w:hint="eastAsia" w:eastAsia="黑体"/>
                <w:sz w:val="28"/>
                <w:szCs w:val="28"/>
                <w:shd w:val="clear" w:color="auto" w:fill="FFFFFF"/>
              </w:rPr>
              <w:t xml:space="preserve">2   </w:t>
            </w:r>
            <w:r>
              <w:rPr>
                <w:rFonts w:eastAsia="黑体"/>
                <w:sz w:val="28"/>
                <w:szCs w:val="28"/>
                <w:shd w:val="clear" w:color="auto" w:fill="FFFFFF"/>
              </w:rPr>
              <w:t>重点行业领域整治提升工程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3" w:hRule="atLeast"/>
          <w:jc w:val="center"/>
        </w:trPr>
        <w:tc>
          <w:tcPr>
            <w:tcW w:w="8522" w:type="dxa"/>
            <w:vAlign w:val="center"/>
          </w:tcPr>
          <w:p>
            <w:pPr>
              <w:snapToGrid w:val="0"/>
              <w:spacing w:line="300" w:lineRule="auto"/>
              <w:ind w:firstLine="482" w:firstLineChars="200"/>
              <w:rPr>
                <w:rFonts w:eastAsia="仿宋_GB2312"/>
                <w:b/>
                <w:bCs/>
                <w:snapToGrid w:val="0"/>
                <w:color w:val="auto"/>
                <w:sz w:val="24"/>
                <w:szCs w:val="20"/>
                <w:lang w:bidi="ar"/>
              </w:rPr>
            </w:pPr>
            <w:r>
              <w:rPr>
                <w:rFonts w:eastAsia="仿宋_GB2312"/>
                <w:b/>
                <w:bCs/>
                <w:snapToGrid w:val="0"/>
                <w:sz w:val="24"/>
                <w:szCs w:val="20"/>
                <w:lang w:bidi="ar"/>
              </w:rPr>
              <w:t>1.危险化学品安全专项整治。</w:t>
            </w:r>
            <w:r>
              <w:rPr>
                <w:rFonts w:hint="eastAsia" w:eastAsia="仿宋_GB2312"/>
                <w:bCs/>
                <w:snapToGrid w:val="0"/>
                <w:color w:val="auto"/>
                <w:sz w:val="24"/>
                <w:szCs w:val="20"/>
                <w:lang w:bidi="ar"/>
              </w:rPr>
              <w:t>完善危险化学品全链条监管的责任体系、监管体系、预警体系、应急体系和联动机制，加强危险化学品全生命周期风险管控。加强生产、储存环节风险数字化精准管控，到2022年底实现危险化学品全链条安全风险100%线上精准智控；加强运输环节风险管控，到2022年底实现对全县危险货物道路运输装运卸全流程动态监管；加强使用环节监管，到2022年底完成储存、使用环节规范化建设；推进高危行业领域安全生产社会化服务，2022年底前危险化学品社会化服务全覆盖；加强危险化学品专业应急救援队伍建设，配备应急救援物资，满足危险化学品事故应急救援需要。</w:t>
            </w:r>
          </w:p>
          <w:p>
            <w:pPr>
              <w:snapToGrid w:val="0"/>
              <w:spacing w:line="300" w:lineRule="auto"/>
              <w:ind w:firstLine="482"/>
              <w:rPr>
                <w:rFonts w:eastAsia="楷体_GB2312"/>
                <w:snapToGrid w:val="0"/>
                <w:sz w:val="24"/>
                <w:szCs w:val="20"/>
                <w:lang w:bidi="ar"/>
              </w:rPr>
            </w:pPr>
            <w:r>
              <w:rPr>
                <w:rFonts w:hint="eastAsia" w:eastAsia="仿宋_GB2312"/>
                <w:b/>
                <w:bCs/>
                <w:snapToGrid w:val="0"/>
                <w:sz w:val="24"/>
                <w:szCs w:val="20"/>
                <w:lang w:bidi="ar"/>
              </w:rPr>
              <w:t>2</w:t>
            </w:r>
            <w:r>
              <w:rPr>
                <w:rFonts w:eastAsia="仿宋_GB2312"/>
                <w:b/>
                <w:bCs/>
                <w:snapToGrid w:val="0"/>
                <w:sz w:val="24"/>
                <w:szCs w:val="20"/>
                <w:lang w:bidi="ar"/>
              </w:rPr>
              <w:t>.加工制造类小微企业安全专项整治。</w:t>
            </w:r>
            <w:r>
              <w:rPr>
                <w:rFonts w:eastAsia="仿宋_GB2312"/>
                <w:snapToGrid w:val="0"/>
                <w:sz w:val="24"/>
                <w:szCs w:val="20"/>
                <w:lang w:bidi="ar"/>
              </w:rPr>
              <w:t>全面开展</w:t>
            </w:r>
            <w:r>
              <w:rPr>
                <w:rFonts w:hint="eastAsia" w:eastAsia="仿宋_GB2312"/>
                <w:snapToGrid w:val="0"/>
                <w:sz w:val="24"/>
                <w:szCs w:val="20"/>
                <w:lang w:bidi="ar"/>
              </w:rPr>
              <w:t>加工制造类小微企业</w:t>
            </w:r>
            <w:r>
              <w:rPr>
                <w:rFonts w:eastAsia="仿宋_GB2312"/>
                <w:snapToGrid w:val="0"/>
                <w:sz w:val="24"/>
                <w:szCs w:val="20"/>
                <w:lang w:bidi="ar"/>
              </w:rPr>
              <w:t>风险管控体系建设，到2022年风险管控体系建设覆盖率达100%。加大社会化服务推行力度，到2022年实现安全生产社会化服务全覆盖。推进安全生产</w:t>
            </w:r>
            <w:r>
              <w:rPr>
                <w:rFonts w:hint="eastAsia" w:eastAsia="仿宋_GB2312"/>
                <w:snapToGrid w:val="0"/>
                <w:sz w:val="24"/>
                <w:szCs w:val="20"/>
                <w:lang w:bidi="ar"/>
              </w:rPr>
              <w:t>精密智控建设</w:t>
            </w:r>
            <w:r>
              <w:rPr>
                <w:rFonts w:eastAsia="仿宋_GB2312"/>
                <w:snapToGrid w:val="0"/>
                <w:sz w:val="24"/>
                <w:szCs w:val="20"/>
                <w:lang w:bidi="ar"/>
              </w:rPr>
              <w:t>，</w:t>
            </w:r>
            <w:r>
              <w:rPr>
                <w:rFonts w:hint="eastAsia" w:eastAsia="仿宋_GB2312"/>
                <w:snapToGrid w:val="0"/>
                <w:sz w:val="24"/>
                <w:szCs w:val="20"/>
                <w:lang w:bidi="ar"/>
              </w:rPr>
              <w:t>依托</w:t>
            </w:r>
            <w:r>
              <w:rPr>
                <w:rFonts w:eastAsia="仿宋_GB2312"/>
                <w:snapToGrid w:val="0"/>
                <w:sz w:val="24"/>
                <w:szCs w:val="20"/>
                <w:lang w:bidi="ar"/>
              </w:rPr>
              <w:t>数字化监管平台，切实加强对加工制造类小微企业重点人员、重点设备设施、高危作业等</w:t>
            </w:r>
            <w:r>
              <w:rPr>
                <w:rFonts w:hint="eastAsia" w:eastAsia="仿宋_GB2312"/>
                <w:snapToGrid w:val="0"/>
                <w:sz w:val="24"/>
                <w:szCs w:val="20"/>
                <w:lang w:bidi="ar"/>
              </w:rPr>
              <w:t>的</w:t>
            </w:r>
            <w:r>
              <w:rPr>
                <w:rFonts w:eastAsia="仿宋_GB2312"/>
                <w:snapToGrid w:val="0"/>
                <w:sz w:val="24"/>
                <w:szCs w:val="20"/>
                <w:lang w:bidi="ar"/>
              </w:rPr>
              <w:t>线上监管。</w:t>
            </w:r>
          </w:p>
          <w:p>
            <w:pPr>
              <w:snapToGrid w:val="0"/>
              <w:spacing w:line="300" w:lineRule="auto"/>
              <w:ind w:firstLine="482"/>
              <w:rPr>
                <w:rFonts w:eastAsia="楷体_GB2312"/>
                <w:snapToGrid w:val="0"/>
                <w:sz w:val="24"/>
                <w:szCs w:val="20"/>
                <w:lang w:bidi="ar"/>
              </w:rPr>
            </w:pPr>
            <w:r>
              <w:rPr>
                <w:rFonts w:hint="eastAsia" w:eastAsia="仿宋_GB2312"/>
                <w:b/>
                <w:bCs/>
                <w:snapToGrid w:val="0"/>
                <w:sz w:val="24"/>
                <w:szCs w:val="20"/>
                <w:lang w:bidi="ar"/>
              </w:rPr>
              <w:t>3</w:t>
            </w:r>
            <w:r>
              <w:rPr>
                <w:rFonts w:eastAsia="仿宋_GB2312"/>
                <w:b/>
                <w:bCs/>
                <w:snapToGrid w:val="0"/>
                <w:sz w:val="24"/>
                <w:szCs w:val="20"/>
                <w:lang w:bidi="ar"/>
              </w:rPr>
              <w:t>.消防安全专项整治。</w:t>
            </w:r>
            <w:r>
              <w:rPr>
                <w:rFonts w:eastAsia="仿宋_GB2312"/>
                <w:sz w:val="24"/>
                <w:szCs w:val="20"/>
              </w:rPr>
              <w:t>深化打通消防生命通道、四类场所消防安全治理、火灾风险个性化整治、城乡火灾防控基层基础、重点行业消防安全管理等五项治理行动。到202</w:t>
            </w:r>
            <w:r>
              <w:rPr>
                <w:rFonts w:hint="eastAsia" w:eastAsia="仿宋_GB2312"/>
                <w:sz w:val="24"/>
                <w:szCs w:val="20"/>
              </w:rPr>
              <w:t>3</w:t>
            </w:r>
            <w:r>
              <w:rPr>
                <w:rFonts w:eastAsia="仿宋_GB2312"/>
                <w:sz w:val="24"/>
                <w:szCs w:val="20"/>
              </w:rPr>
              <w:t>年底前完成高层建筑消防安全综合整治，老旧小区完成生命通道“一区一策”治理、优化停车资源管理使用；202</w:t>
            </w:r>
            <w:r>
              <w:rPr>
                <w:rFonts w:hint="eastAsia" w:eastAsia="仿宋_GB2312"/>
                <w:sz w:val="24"/>
                <w:szCs w:val="20"/>
              </w:rPr>
              <w:t>5</w:t>
            </w:r>
            <w:r>
              <w:rPr>
                <w:rFonts w:eastAsia="仿宋_GB2312"/>
                <w:sz w:val="24"/>
                <w:szCs w:val="20"/>
              </w:rPr>
              <w:t>年底前实现商业综合体消防安全管理达标率100%，完成老旧场所、小微企业和园区、出租房（民房）、新材料新业态突出风险治理；完成</w:t>
            </w:r>
            <w:r>
              <w:rPr>
                <w:rFonts w:hint="eastAsia" w:eastAsia="仿宋_GB2312"/>
                <w:sz w:val="24"/>
                <w:szCs w:val="20"/>
              </w:rPr>
              <w:t>全县</w:t>
            </w:r>
            <w:r>
              <w:rPr>
                <w:rFonts w:eastAsia="仿宋_GB2312"/>
                <w:sz w:val="24"/>
                <w:szCs w:val="20"/>
              </w:rPr>
              <w:t>城乡消防规划编修。有序推进“智慧消防·智能管控”平台建设，推行信息化、智能化消防安全监管手段，实施消防安全素质提升工程，推广“消防蓝码”申领。</w:t>
            </w:r>
          </w:p>
          <w:p>
            <w:pPr>
              <w:snapToGrid w:val="0"/>
              <w:spacing w:line="300" w:lineRule="auto"/>
              <w:ind w:firstLine="482"/>
              <w:rPr>
                <w:rFonts w:eastAsia="楷体_GB2312"/>
                <w:snapToGrid w:val="0"/>
                <w:sz w:val="24"/>
                <w:szCs w:val="20"/>
                <w:lang w:bidi="ar"/>
              </w:rPr>
            </w:pPr>
            <w:r>
              <w:rPr>
                <w:rFonts w:hint="eastAsia" w:eastAsia="仿宋_GB2312"/>
                <w:b/>
                <w:bCs/>
                <w:snapToGrid w:val="0"/>
                <w:sz w:val="24"/>
                <w:szCs w:val="20"/>
                <w:lang w:bidi="ar"/>
              </w:rPr>
              <w:t>4</w:t>
            </w:r>
            <w:r>
              <w:rPr>
                <w:rFonts w:eastAsia="仿宋_GB2312"/>
                <w:b/>
                <w:bCs/>
                <w:snapToGrid w:val="0"/>
                <w:sz w:val="24"/>
                <w:szCs w:val="20"/>
                <w:lang w:bidi="ar"/>
              </w:rPr>
              <w:t>.道路交通安全专项整治。</w:t>
            </w:r>
            <w:r>
              <w:rPr>
                <w:rFonts w:eastAsia="仿宋_GB2312"/>
                <w:sz w:val="24"/>
                <w:szCs w:val="20"/>
              </w:rPr>
              <w:t>加强电动自行车、“两客一危”、重型货车等重点车辆安全整治，实施危险化学品道路运输全链条监管。深化实施道路安全防护提升工程，强化长大桥隧、道路平交口和穿镇穿村路段治理，推进农村道路设施建设，2021年底前实现国省道2.5米、农村公路4米以上落差路段安防设施全覆盖；2022年前完成现有普通国省道公路平交口和路侧开口治理提升。</w:t>
            </w:r>
          </w:p>
          <w:p>
            <w:pPr>
              <w:snapToGrid w:val="0"/>
              <w:spacing w:line="300" w:lineRule="auto"/>
              <w:ind w:firstLine="482"/>
              <w:rPr>
                <w:rFonts w:eastAsia="楷体_GB2312"/>
                <w:b/>
                <w:bCs/>
                <w:sz w:val="24"/>
                <w:szCs w:val="20"/>
              </w:rPr>
            </w:pPr>
            <w:r>
              <w:rPr>
                <w:rFonts w:eastAsia="仿宋_GB2312"/>
                <w:b/>
                <w:bCs/>
                <w:snapToGrid w:val="0"/>
                <w:sz w:val="24"/>
                <w:szCs w:val="20"/>
                <w:lang w:bidi="ar"/>
              </w:rPr>
              <w:t>5.建设工程施工安全专项整治。</w:t>
            </w:r>
            <w:r>
              <w:rPr>
                <w:rFonts w:eastAsia="仿宋_GB2312"/>
                <w:snapToGrid w:val="0"/>
                <w:sz w:val="24"/>
                <w:szCs w:val="20"/>
                <w:lang w:bidi="ar"/>
              </w:rPr>
              <w:t>从严从实抓好各项安全生产专项整治工作，完善安全生产监管执法保障，强化落实企业安全生产主体责任，全面提升建筑施工安全管理水平。实施“防危大、防高坠、防死角盲区”安全提升工程，及时消除建筑施工事故隐患，推进“智慧化、信息化、标准化”工程建设，强化建筑施工安全保障，筑牢安全防线。推进建筑工程领域安全生产责任险，建立健全应急救援管理体系，切实防范和遏制建筑施工生产安全事故。</w:t>
            </w:r>
          </w:p>
          <w:p>
            <w:pPr>
              <w:snapToGrid w:val="0"/>
              <w:spacing w:line="300" w:lineRule="auto"/>
              <w:ind w:firstLine="482"/>
              <w:rPr>
                <w:rFonts w:eastAsia="楷体_GB2312"/>
                <w:b/>
                <w:bCs/>
                <w:sz w:val="24"/>
                <w:szCs w:val="20"/>
              </w:rPr>
            </w:pPr>
            <w:r>
              <w:rPr>
                <w:rFonts w:hint="eastAsia" w:eastAsia="仿宋_GB2312"/>
                <w:b/>
                <w:bCs/>
                <w:snapToGrid w:val="0"/>
                <w:sz w:val="24"/>
                <w:szCs w:val="20"/>
                <w:lang w:bidi="ar"/>
              </w:rPr>
              <w:t>6</w:t>
            </w:r>
            <w:r>
              <w:rPr>
                <w:rFonts w:eastAsia="仿宋_GB2312"/>
                <w:b/>
                <w:bCs/>
                <w:snapToGrid w:val="0"/>
                <w:sz w:val="24"/>
                <w:szCs w:val="20"/>
                <w:lang w:bidi="ar"/>
              </w:rPr>
              <w:t>.工业园区等功能区安全专项整治。</w:t>
            </w:r>
            <w:r>
              <w:rPr>
                <w:rFonts w:eastAsia="仿宋_GB2312"/>
                <w:snapToGrid w:val="0"/>
                <w:sz w:val="24"/>
                <w:szCs w:val="20"/>
                <w:lang w:bidi="ar"/>
              </w:rPr>
              <w:t>完善各类工业园区等功能区安全生产管理体制机制，强化园区安全生产源头管控，优化园区功能布局，严格控制高风险功能区规模，健全以风险分级管控和隐患排查治理为重点的园区安全预防控制体系，加强高风险园区安全管控。着力提升“两园一点”（小微企业园、街道工业园、村级工业集聚点）的安全生产水平，全面推进智慧园区建设。</w:t>
            </w:r>
          </w:p>
          <w:p>
            <w:pPr>
              <w:snapToGrid w:val="0"/>
              <w:spacing w:line="300" w:lineRule="auto"/>
              <w:ind w:firstLine="482"/>
              <w:rPr>
                <w:rFonts w:eastAsia="仿宋_GB2312"/>
                <w:bCs/>
                <w:snapToGrid w:val="0"/>
                <w:color w:val="auto"/>
                <w:sz w:val="24"/>
                <w:szCs w:val="20"/>
                <w:lang w:bidi="ar"/>
              </w:rPr>
            </w:pPr>
            <w:r>
              <w:rPr>
                <w:rFonts w:hint="eastAsia" w:eastAsia="仿宋_GB2312"/>
                <w:b/>
                <w:bCs/>
                <w:snapToGrid w:val="0"/>
                <w:color w:val="auto"/>
                <w:sz w:val="24"/>
                <w:szCs w:val="20"/>
                <w:lang w:bidi="ar"/>
              </w:rPr>
              <w:t>7.矿山安全专项整治。</w:t>
            </w:r>
            <w:r>
              <w:rPr>
                <w:rFonts w:hint="eastAsia" w:eastAsia="仿宋_GB2312"/>
                <w:bCs/>
                <w:snapToGrid w:val="0"/>
                <w:color w:val="auto"/>
                <w:sz w:val="24"/>
                <w:szCs w:val="20"/>
                <w:lang w:bidi="ar"/>
              </w:rPr>
              <w:t>落实矿山分类分级安全监管措施，全面建成安全风险管控体系，落实安全生产承诺制度。淘汰金属非金属矿山禁止使用的设备及工艺，规范露天矿山台阶式开采，推广矿用运输车辆和破碎系统自动化，到2022年底地下矿山开采机械化水平提高20%。提升矿山安全管理信息化水平，露天矿山全面完成视频监控系统建设；在用尾矿库建成在线监测系统，实现对浸润线、坝体位移、干滩长度等关键指标的实时监测预警；地下矿山建成监测监控系统，实现对提升、通风等系统的监测监控；推进高危行业领域安全生产社会化服务，2022年底前矿山社会化服务全覆盖；加强矿山专业应急救援队伍建设，配备应急救援物资，满足矿山事故应急救援需要。</w:t>
            </w:r>
          </w:p>
          <w:p>
            <w:pPr>
              <w:snapToGrid w:val="0"/>
              <w:spacing w:line="300" w:lineRule="auto"/>
              <w:ind w:firstLine="482"/>
              <w:rPr>
                <w:rFonts w:eastAsia="楷体_GB2312"/>
                <w:snapToGrid w:val="0"/>
                <w:sz w:val="24"/>
                <w:szCs w:val="20"/>
                <w:lang w:bidi="ar"/>
              </w:rPr>
            </w:pPr>
            <w:r>
              <w:rPr>
                <w:rFonts w:hint="eastAsia" w:eastAsia="仿宋_GB2312"/>
                <w:b/>
                <w:bCs/>
                <w:snapToGrid w:val="0"/>
                <w:sz w:val="24"/>
                <w:szCs w:val="20"/>
                <w:lang w:bidi="ar"/>
              </w:rPr>
              <w:t>8</w:t>
            </w:r>
            <w:r>
              <w:rPr>
                <w:rFonts w:eastAsia="仿宋_GB2312"/>
                <w:b/>
                <w:bCs/>
                <w:snapToGrid w:val="0"/>
                <w:sz w:val="24"/>
                <w:szCs w:val="20"/>
                <w:lang w:bidi="ar"/>
              </w:rPr>
              <w:t>.危险废物安全专项整治。</w:t>
            </w:r>
            <w:r>
              <w:rPr>
                <w:rFonts w:eastAsia="仿宋_GB2312"/>
                <w:snapToGrid w:val="0"/>
                <w:sz w:val="24"/>
                <w:szCs w:val="20"/>
                <w:lang w:bidi="ar"/>
              </w:rPr>
              <w:t>强化化工园区、化工和涉危险化学品单位及危险废物处置单位监督检查，完善危险废物管理机制，推进危险废物利用处置能力建设，组织开展企业重点环保设施和项目的全面摸排，建立台账；开展“煤改气”安全风险排查治理，开展渣土和垃圾填埋、城镇污水处理过程中安全风险排查治理，组织完成粉尘收集、输送、贮存等环节的环保设施设备防爆安全达标改造，加强粉尘企业安全风险管控。</w:t>
            </w:r>
          </w:p>
          <w:p>
            <w:pPr>
              <w:snapToGrid w:val="0"/>
              <w:spacing w:line="300" w:lineRule="auto"/>
              <w:ind w:firstLine="482" w:firstLineChars="200"/>
              <w:rPr>
                <w:rFonts w:eastAsia="宋体"/>
                <w:sz w:val="20"/>
                <w:szCs w:val="20"/>
              </w:rPr>
            </w:pPr>
            <w:r>
              <w:rPr>
                <w:rFonts w:hint="eastAsia" w:eastAsia="仿宋_GB2312"/>
                <w:b/>
                <w:bCs/>
                <w:snapToGrid w:val="0"/>
                <w:sz w:val="24"/>
                <w:szCs w:val="20"/>
                <w:lang w:bidi="ar"/>
              </w:rPr>
              <w:t>9</w:t>
            </w:r>
            <w:r>
              <w:rPr>
                <w:rFonts w:eastAsia="仿宋_GB2312"/>
                <w:b/>
                <w:bCs/>
                <w:snapToGrid w:val="0"/>
                <w:sz w:val="24"/>
                <w:szCs w:val="20"/>
                <w:lang w:bidi="ar"/>
              </w:rPr>
              <w:t>.旅游行业安全专项整治。</w:t>
            </w:r>
            <w:r>
              <w:rPr>
                <w:rFonts w:eastAsia="仿宋_GB2312"/>
                <w:snapToGrid w:val="0"/>
                <w:sz w:val="24"/>
                <w:szCs w:val="20"/>
                <w:lang w:bidi="ar"/>
              </w:rPr>
              <w:t>对文化市场和旅游行业安全生产工作实施监督管理，加强旅游客运安全管理。指导地方对旅行社企业安全生产工作进行监督检查，推动协调相关部门加强对自助游、自驾游、网红景点等新业态的安全监管。组织制定文化市场和旅游行业突发事件应急预案，加强应急管理。</w:t>
            </w:r>
          </w:p>
        </w:tc>
      </w:tr>
      <w:bookmarkEnd w:id="150"/>
    </w:tbl>
    <w:p>
      <w:pPr>
        <w:pStyle w:val="3"/>
        <w:adjustRightInd w:val="0"/>
        <w:snapToGrid w:val="0"/>
        <w:spacing w:before="120" w:after="120" w:line="300" w:lineRule="auto"/>
        <w:ind w:firstLine="643" w:firstLineChars="200"/>
        <w:rPr>
          <w:rFonts w:ascii="仿宋_GB2312" w:hAnsi="仿宋_GB2312" w:eastAsia="仿宋_GB2312" w:cs="仿宋_GB2312"/>
          <w:b w:val="0"/>
          <w:lang w:eastAsia="zh-CN"/>
        </w:rPr>
      </w:pPr>
      <w:bookmarkStart w:id="151" w:name="_Toc88430423"/>
      <w:bookmarkStart w:id="152" w:name="_Toc21695"/>
      <w:bookmarkStart w:id="153" w:name="_Toc32046"/>
      <w:bookmarkStart w:id="154" w:name="_Toc17914"/>
      <w:bookmarkStart w:id="155" w:name="_Toc25293"/>
      <w:bookmarkStart w:id="156" w:name="_Toc6005"/>
      <w:bookmarkStart w:id="157" w:name="_Toc5840"/>
      <w:bookmarkStart w:id="158" w:name="_Toc27500"/>
      <w:bookmarkStart w:id="159" w:name="_Toc2468"/>
      <w:bookmarkStart w:id="160" w:name="_Toc24413"/>
      <w:bookmarkStart w:id="161" w:name="_Toc67597459"/>
      <w:bookmarkStart w:id="162" w:name="_Toc1408"/>
      <w:bookmarkStart w:id="163" w:name="_Toc12016"/>
      <w:r>
        <w:rPr>
          <w:rFonts w:hint="eastAsia" w:ascii="Times New Roman" w:hAnsi="Times New Roman" w:eastAsia="楷体" w:cs="Times New Roman"/>
          <w:bCs w:val="0"/>
          <w:lang w:eastAsia="zh-CN"/>
        </w:rPr>
        <w:t>（二）应急管理数字化建设工程</w:t>
      </w:r>
      <w:bookmarkEnd w:id="151"/>
      <w:bookmarkEnd w:id="152"/>
      <w:bookmarkEnd w:id="153"/>
      <w:bookmarkEnd w:id="154"/>
      <w:bookmarkEnd w:id="155"/>
    </w:p>
    <w:p>
      <w:pPr>
        <w:snapToGrid w:val="0"/>
        <w:spacing w:line="300" w:lineRule="auto"/>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加强应急管理数字化建设，推动形成安全生产领域风险监测预警、隐患排查分析、数据感知、应急救援体系向智能化高速发展，促进全县重点行业领域的安全发展，有效降低事故率。</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522" w:type="dxa"/>
            <w:vAlign w:val="center"/>
          </w:tcPr>
          <w:p>
            <w:pPr>
              <w:snapToGrid w:val="0"/>
              <w:spacing w:line="300" w:lineRule="auto"/>
              <w:jc w:val="center"/>
              <w:rPr>
                <w:rFonts w:eastAsia="宋体"/>
                <w:b/>
                <w:bCs/>
                <w:sz w:val="32"/>
                <w:szCs w:val="32"/>
                <w:shd w:val="clear" w:color="auto" w:fill="FFFFFF"/>
              </w:rPr>
            </w:pPr>
            <w:r>
              <w:rPr>
                <w:rFonts w:eastAsia="黑体"/>
                <w:sz w:val="28"/>
                <w:szCs w:val="28"/>
                <w:shd w:val="clear" w:color="auto" w:fill="FFFFFF"/>
              </w:rPr>
              <w:t>专栏</w:t>
            </w:r>
            <w:r>
              <w:rPr>
                <w:rFonts w:hint="eastAsia" w:eastAsia="黑体"/>
                <w:sz w:val="28"/>
                <w:szCs w:val="28"/>
                <w:shd w:val="clear" w:color="auto" w:fill="FFFFFF"/>
              </w:rPr>
              <w:t xml:space="preserve">3   </w:t>
            </w:r>
            <w:r>
              <w:rPr>
                <w:rFonts w:eastAsia="黑体"/>
                <w:sz w:val="28"/>
                <w:szCs w:val="28"/>
                <w:shd w:val="clear" w:color="auto" w:fill="FFFFFF"/>
              </w:rPr>
              <w:t>应急管理数字化建设工程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center"/>
          </w:tcPr>
          <w:p>
            <w:pPr>
              <w:snapToGrid w:val="0"/>
              <w:spacing w:line="300" w:lineRule="auto"/>
              <w:ind w:firstLine="482" w:firstLineChars="200"/>
              <w:rPr>
                <w:rFonts w:ascii="仿宋_GB2312" w:hAnsi="仿宋_GB2312" w:eastAsia="仿宋_GB2312" w:cs="仿宋_GB2312"/>
                <w:bCs/>
                <w:snapToGrid w:val="0"/>
                <w:sz w:val="24"/>
                <w:szCs w:val="24"/>
              </w:rPr>
            </w:pPr>
            <w:r>
              <w:rPr>
                <w:rFonts w:hint="eastAsia" w:ascii="仿宋_GB2312" w:hAnsi="仿宋_GB2312" w:eastAsia="仿宋_GB2312" w:cs="仿宋_GB2312"/>
                <w:b/>
                <w:bCs/>
                <w:snapToGrid w:val="0"/>
                <w:sz w:val="24"/>
                <w:szCs w:val="24"/>
              </w:rPr>
              <w:t>1.构建重点领域风险库。</w:t>
            </w:r>
            <w:r>
              <w:rPr>
                <w:rFonts w:hint="eastAsia" w:ascii="仿宋_GB2312" w:hAnsi="仿宋_GB2312" w:eastAsia="仿宋_GB2312" w:cs="仿宋_GB2312"/>
                <w:bCs/>
                <w:snapToGrid w:val="0"/>
                <w:sz w:val="24"/>
                <w:szCs w:val="24"/>
              </w:rPr>
              <w:t>在部门公共数据开放共享的基础上，完成重点岗位人员、高风险设备设施、高风险场所、重点企业、高风险集聚区、高风险作业等六大风险目标风险监测数据库。推广各类“安全码”、“身份码”等运用和数据交流共享，实现各类人员在各种特殊条件下的实时管理。</w:t>
            </w:r>
          </w:p>
          <w:p>
            <w:pPr>
              <w:snapToGrid w:val="0"/>
              <w:spacing w:line="300" w:lineRule="auto"/>
              <w:ind w:firstLine="482" w:firstLineChars="200"/>
              <w:rPr>
                <w:rFonts w:ascii="仿宋_GB2312" w:hAnsi="仿宋_GB2312" w:eastAsia="仿宋_GB2312" w:cs="仿宋_GB2312"/>
                <w:bCs/>
                <w:snapToGrid w:val="0"/>
                <w:sz w:val="24"/>
                <w:szCs w:val="24"/>
              </w:rPr>
            </w:pPr>
            <w:r>
              <w:rPr>
                <w:rFonts w:hint="eastAsia" w:ascii="仿宋_GB2312" w:hAnsi="仿宋_GB2312" w:eastAsia="仿宋_GB2312" w:cs="仿宋_GB2312"/>
                <w:b/>
                <w:bCs/>
                <w:snapToGrid w:val="0"/>
                <w:sz w:val="24"/>
                <w:szCs w:val="24"/>
              </w:rPr>
              <w:t>2.构建安全生产隐患排查图。</w:t>
            </w:r>
            <w:r>
              <w:rPr>
                <w:rFonts w:hint="eastAsia" w:ascii="仿宋_GB2312" w:hAnsi="仿宋_GB2312" w:eastAsia="仿宋_GB2312" w:cs="仿宋_GB2312"/>
                <w:bCs/>
                <w:snapToGrid w:val="0"/>
                <w:sz w:val="24"/>
                <w:szCs w:val="24"/>
              </w:rPr>
              <w:t>建立企业风险隐患“红橙黄蓝”四色分级图，推动安全生产风险分级管控。建立隐患自动分析模型，形成隐患排查自动分析系统，动态反馈全县企业风险等级的占比情况、区域分布、高风险企业在区域行业分布情况，制定企业风险评估模型，配合“浙政钉”掌上执法系统，实现全县安全生产监管执法数据实时汇聚。</w:t>
            </w:r>
          </w:p>
          <w:p>
            <w:pPr>
              <w:snapToGrid w:val="0"/>
              <w:spacing w:line="300" w:lineRule="auto"/>
              <w:ind w:firstLine="482" w:firstLineChars="200"/>
              <w:rPr>
                <w:rFonts w:ascii="仿宋_GB2312" w:hAnsi="仿宋_GB2312" w:eastAsia="仿宋_GB2312" w:cs="仿宋_GB2312"/>
                <w:bCs/>
                <w:snapToGrid w:val="0"/>
                <w:color w:val="auto"/>
                <w:sz w:val="24"/>
                <w:szCs w:val="24"/>
              </w:rPr>
            </w:pPr>
            <w:r>
              <w:rPr>
                <w:rFonts w:hint="eastAsia" w:ascii="仿宋_GB2312" w:hAnsi="仿宋_GB2312" w:eastAsia="仿宋_GB2312" w:cs="仿宋_GB2312"/>
                <w:b/>
                <w:bCs/>
                <w:snapToGrid w:val="0"/>
                <w:sz w:val="24"/>
                <w:szCs w:val="24"/>
              </w:rPr>
              <w:t>3.</w:t>
            </w:r>
            <w:r>
              <w:rPr>
                <w:rFonts w:ascii="仿宋_GB2312" w:hAnsi="仿宋_GB2312" w:eastAsia="仿宋_GB2312" w:cs="仿宋_GB2312"/>
                <w:b/>
                <w:bCs/>
                <w:snapToGrid w:val="0"/>
                <w:sz w:val="24"/>
                <w:szCs w:val="24"/>
              </w:rPr>
              <w:t>构建实时监测平台。</w:t>
            </w:r>
            <w:r>
              <w:rPr>
                <w:rFonts w:ascii="仿宋_GB2312" w:hAnsi="仿宋_GB2312" w:eastAsia="仿宋_GB2312" w:cs="仿宋_GB2312"/>
                <w:bCs/>
                <w:snapToGrid w:val="0"/>
                <w:sz w:val="24"/>
                <w:szCs w:val="24"/>
              </w:rPr>
              <w:t>充分整合“天网工程”、“雪亮工程”等一系列已建或在建项目，构建企业、园区等公共安全智能监管体系平台建设，实现从加工、仓储、运输等生产过程24小时实施监控。</w:t>
            </w:r>
            <w:r>
              <w:rPr>
                <w:rFonts w:hint="eastAsia" w:ascii="仿宋_GB2312" w:hAnsi="仿宋_GB2312" w:eastAsia="仿宋_GB2312" w:cs="仿宋_GB2312"/>
                <w:bCs/>
                <w:snapToGrid w:val="0"/>
                <w:color w:val="auto"/>
                <w:sz w:val="24"/>
                <w:szCs w:val="24"/>
              </w:rPr>
              <w:t>推进化工园区安全监管、危险源监控、人流物流管控、应急保障和医疗救助“五个一体化”建设。</w:t>
            </w:r>
          </w:p>
          <w:p>
            <w:pPr>
              <w:snapToGrid w:val="0"/>
              <w:spacing w:line="300" w:lineRule="auto"/>
              <w:ind w:firstLine="482" w:firstLineChars="200"/>
              <w:rPr>
                <w:rFonts w:ascii="仿宋_GB2312" w:hAnsi="仿宋_GB2312" w:eastAsia="仿宋_GB2312" w:cs="仿宋_GB2312"/>
                <w:bCs/>
                <w:snapToGrid w:val="0"/>
                <w:sz w:val="24"/>
                <w:szCs w:val="24"/>
              </w:rPr>
            </w:pPr>
            <w:r>
              <w:rPr>
                <w:rFonts w:hint="eastAsia" w:ascii="仿宋_GB2312" w:hAnsi="仿宋_GB2312" w:eastAsia="仿宋_GB2312" w:cs="仿宋_GB2312"/>
                <w:b/>
                <w:bCs/>
                <w:snapToGrid w:val="0"/>
                <w:sz w:val="24"/>
                <w:szCs w:val="24"/>
              </w:rPr>
              <w:t>4.构建智能感知网。</w:t>
            </w:r>
            <w:r>
              <w:rPr>
                <w:rFonts w:hint="eastAsia" w:ascii="仿宋_GB2312" w:hAnsi="仿宋_GB2312" w:eastAsia="仿宋_GB2312" w:cs="仿宋_GB2312"/>
                <w:bCs/>
                <w:snapToGrid w:val="0"/>
                <w:sz w:val="24"/>
                <w:szCs w:val="24"/>
              </w:rPr>
              <w:t>利用5G、物联网、大数据、云计算等技术，结合县政府数字化转型和“城市大脑”建设工作，推动相关部门新建或改造城市大型建筑、大型公用设施、地下管网及综合管廊、公共空间、消防重点单位、重大活动保障等感知网络建设。2023年底，进一步综合集成城市运行管理信息化系统，以“城市大脑”为系统中枢，实现数据智能化调度，为城市安全隐患的深入发掘、异常情况的及时预警、处置过程的全程监控和灾后情况的全面评估提供精确、及时和有效的感知数据。</w:t>
            </w:r>
          </w:p>
          <w:p>
            <w:pPr>
              <w:snapToGrid w:val="0"/>
              <w:spacing w:line="300" w:lineRule="auto"/>
              <w:ind w:firstLine="482" w:firstLineChars="200"/>
              <w:rPr>
                <w:rFonts w:eastAsia="仿宋_GB2312"/>
                <w:snapToGrid w:val="0"/>
                <w:sz w:val="24"/>
                <w:szCs w:val="20"/>
                <w:lang w:bidi="ar"/>
              </w:rPr>
            </w:pPr>
            <w:r>
              <w:rPr>
                <w:rFonts w:hint="eastAsia" w:ascii="仿宋_GB2312" w:hAnsi="仿宋_GB2312" w:eastAsia="仿宋_GB2312" w:cs="仿宋_GB2312"/>
                <w:b/>
                <w:bCs/>
                <w:snapToGrid w:val="0"/>
                <w:sz w:val="24"/>
                <w:szCs w:val="24"/>
              </w:rPr>
              <w:t>5.构建多维度融合通信系统，推动应急救援快速反应能力发展。</w:t>
            </w:r>
            <w:r>
              <w:rPr>
                <w:rFonts w:hint="eastAsia" w:ascii="仿宋_GB2312" w:hAnsi="仿宋_GB2312" w:eastAsia="仿宋_GB2312" w:cs="仿宋_GB2312"/>
                <w:bCs/>
                <w:snapToGrid w:val="0"/>
                <w:sz w:val="24"/>
                <w:szCs w:val="24"/>
              </w:rPr>
              <w:t>通过进一步完善和扩充指挥通信网、无线通信网、卫星通信网、视联网、融合通信系统和可视化指挥调度系统等通信手段建设，构建有线无线一体、地面天空协同的多维度融合通信系统。迭代升级现有安全生产数字化平台和自然灾害数字化平台建设，整合各方面救援力量，建成快速反应、集成高效的应急救援能力。</w:t>
            </w:r>
          </w:p>
        </w:tc>
      </w:tr>
    </w:tbl>
    <w:p>
      <w:pPr>
        <w:pStyle w:val="3"/>
        <w:snapToGrid w:val="0"/>
        <w:spacing w:before="120" w:after="120" w:line="300" w:lineRule="auto"/>
        <w:ind w:firstLine="643" w:firstLineChars="200"/>
        <w:rPr>
          <w:rFonts w:ascii="仿宋_GB2312" w:hAnsi="仿宋_GB2312" w:eastAsia="仿宋_GB2312" w:cs="仿宋_GB2312"/>
          <w:lang w:eastAsia="zh-CN"/>
        </w:rPr>
      </w:pPr>
      <w:bookmarkStart w:id="164" w:name="_Toc21634"/>
      <w:bookmarkStart w:id="165" w:name="_Toc17790"/>
      <w:bookmarkStart w:id="166" w:name="_Toc14407"/>
      <w:bookmarkStart w:id="167" w:name="_Toc88430424"/>
      <w:bookmarkStart w:id="168" w:name="_Toc32315"/>
      <w:r>
        <w:rPr>
          <w:rFonts w:hint="eastAsia" w:ascii="Times New Roman" w:hAnsi="Times New Roman" w:eastAsia="楷体" w:cs="Times New Roman"/>
          <w:bCs w:val="0"/>
          <w:lang w:eastAsia="zh-CN"/>
        </w:rPr>
        <w:t>（三）基层应急管理规范化建设工程</w:t>
      </w:r>
      <w:bookmarkEnd w:id="164"/>
      <w:bookmarkEnd w:id="165"/>
      <w:bookmarkEnd w:id="166"/>
      <w:bookmarkEnd w:id="167"/>
      <w:bookmarkEnd w:id="168"/>
    </w:p>
    <w:p>
      <w:pPr>
        <w:snapToGrid w:val="0"/>
        <w:spacing w:line="300" w:lineRule="auto"/>
        <w:ind w:firstLine="640" w:firstLineChars="200"/>
        <w:rPr>
          <w:rFonts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实施基层应急管理创新行动，全面推进基层应急管理规范化建设，</w:t>
      </w:r>
      <w:r>
        <w:rPr>
          <w:rFonts w:hint="eastAsia" w:ascii="仿宋_GB2312" w:hAnsi="仿宋_GB2312" w:eastAsia="仿宋_GB2312" w:cs="仿宋_GB2312"/>
          <w:bCs/>
          <w:snapToGrid w:val="0"/>
          <w:sz w:val="32"/>
          <w:szCs w:val="32"/>
        </w:rPr>
        <w:t>全面加强基层应急管理执法力量建设，</w:t>
      </w:r>
      <w:r>
        <w:rPr>
          <w:rFonts w:hint="eastAsia" w:ascii="仿宋_GB2312" w:hAnsi="仿宋_GB2312" w:eastAsia="仿宋_GB2312" w:cs="仿宋_GB2312"/>
          <w:sz w:val="32"/>
          <w:szCs w:val="32"/>
          <w:lang w:bidi="ar"/>
        </w:rPr>
        <w:t>夯实应急管理事业发展的基层基础。</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522" w:type="dxa"/>
            <w:vAlign w:val="center"/>
          </w:tcPr>
          <w:p>
            <w:pPr>
              <w:snapToGrid w:val="0"/>
              <w:spacing w:line="300" w:lineRule="auto"/>
              <w:jc w:val="center"/>
              <w:rPr>
                <w:rFonts w:eastAsia="宋体"/>
                <w:b/>
                <w:bCs/>
                <w:sz w:val="32"/>
                <w:szCs w:val="32"/>
                <w:shd w:val="clear" w:color="auto" w:fill="FFFFFF"/>
              </w:rPr>
            </w:pPr>
            <w:r>
              <w:rPr>
                <w:rFonts w:eastAsia="黑体"/>
                <w:sz w:val="28"/>
                <w:szCs w:val="28"/>
                <w:shd w:val="clear" w:color="auto" w:fill="FFFFFF"/>
              </w:rPr>
              <w:t>专栏</w:t>
            </w:r>
            <w:r>
              <w:rPr>
                <w:rFonts w:hint="eastAsia" w:eastAsia="黑体"/>
                <w:sz w:val="28"/>
                <w:szCs w:val="28"/>
                <w:shd w:val="clear" w:color="auto" w:fill="FFFFFF"/>
              </w:rPr>
              <w:t xml:space="preserve">4   </w:t>
            </w:r>
            <w:r>
              <w:rPr>
                <w:rFonts w:eastAsia="黑体"/>
                <w:sz w:val="28"/>
                <w:szCs w:val="28"/>
                <w:shd w:val="clear" w:color="auto" w:fill="FFFFFF"/>
              </w:rPr>
              <w:t>基层应急管理规范化建设工程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center"/>
          </w:tcPr>
          <w:p>
            <w:pPr>
              <w:snapToGrid w:val="0"/>
              <w:spacing w:line="300" w:lineRule="auto"/>
              <w:ind w:firstLine="482"/>
              <w:rPr>
                <w:rFonts w:eastAsia="仿宋_GB2312"/>
                <w:snapToGrid w:val="0"/>
                <w:sz w:val="24"/>
                <w:szCs w:val="20"/>
                <w:lang w:bidi="ar"/>
              </w:rPr>
            </w:pPr>
            <w:r>
              <w:rPr>
                <w:rFonts w:hint="eastAsia" w:eastAsia="仿宋_GB2312"/>
                <w:b/>
                <w:snapToGrid w:val="0"/>
                <w:sz w:val="24"/>
                <w:szCs w:val="20"/>
                <w:lang w:bidi="ar"/>
              </w:rPr>
              <w:t>1.防汛防台标准化建设。</w:t>
            </w:r>
            <w:r>
              <w:rPr>
                <w:rFonts w:hint="eastAsia" w:eastAsia="仿宋_GB2312"/>
                <w:snapToGrid w:val="0"/>
                <w:sz w:val="24"/>
                <w:szCs w:val="20"/>
                <w:lang w:bidi="ar"/>
              </w:rPr>
              <w:t>推进全县基层防汛体系标准化建设，进一步健全组织责任体系、应急预案体系、风险防控体系、安全避险体系、抢险救援体系、灾后恢复体系、运行保障体系等七大体系，巩固提升极端情况下基层乡自为战、村自为战能力，筑牢防汛救灾人民防线。到2023年汛前，全县所有乡镇（街道）防汛体系标准化建设达标率100%。</w:t>
            </w:r>
          </w:p>
          <w:p>
            <w:pPr>
              <w:snapToGrid w:val="0"/>
              <w:spacing w:line="300" w:lineRule="auto"/>
              <w:ind w:firstLine="482"/>
              <w:rPr>
                <w:rFonts w:eastAsia="仿宋_GB2312"/>
                <w:snapToGrid w:val="0"/>
                <w:color w:val="auto"/>
                <w:sz w:val="24"/>
                <w:szCs w:val="20"/>
                <w:lang w:bidi="ar"/>
              </w:rPr>
            </w:pPr>
            <w:r>
              <w:rPr>
                <w:rFonts w:hint="eastAsia" w:eastAsia="仿宋_GB2312"/>
                <w:b/>
                <w:snapToGrid w:val="0"/>
                <w:sz w:val="24"/>
                <w:szCs w:val="20"/>
                <w:lang w:bidi="ar"/>
              </w:rPr>
              <w:t>2</w:t>
            </w:r>
            <w:r>
              <w:rPr>
                <w:rFonts w:eastAsia="仿宋_GB2312"/>
                <w:b/>
                <w:snapToGrid w:val="0"/>
                <w:sz w:val="24"/>
                <w:szCs w:val="20"/>
                <w:lang w:bidi="ar"/>
              </w:rPr>
              <w:t>.执法队伍规范化建设。</w:t>
            </w:r>
            <w:r>
              <w:rPr>
                <w:rFonts w:eastAsia="仿宋_GB2312"/>
                <w:snapToGrid w:val="0"/>
                <w:color w:val="auto"/>
                <w:sz w:val="24"/>
                <w:szCs w:val="20"/>
                <w:lang w:bidi="ar"/>
              </w:rPr>
              <w:t>加强</w:t>
            </w:r>
            <w:r>
              <w:rPr>
                <w:rFonts w:hint="eastAsia" w:eastAsia="仿宋_GB2312"/>
                <w:snapToGrid w:val="0"/>
                <w:color w:val="auto"/>
                <w:sz w:val="24"/>
                <w:szCs w:val="20"/>
                <w:lang w:bidi="ar"/>
              </w:rPr>
              <w:t>应急管理</w:t>
            </w:r>
            <w:r>
              <w:rPr>
                <w:rFonts w:eastAsia="仿宋_GB2312"/>
                <w:snapToGrid w:val="0"/>
                <w:color w:val="auto"/>
                <w:sz w:val="24"/>
                <w:szCs w:val="20"/>
                <w:lang w:bidi="ar"/>
              </w:rPr>
              <w:t>执法人员培训，提高执法能力水平，规范乡镇（街道）</w:t>
            </w:r>
            <w:r>
              <w:rPr>
                <w:rFonts w:hint="eastAsia" w:eastAsia="仿宋_GB2312"/>
                <w:snapToGrid w:val="0"/>
                <w:color w:val="auto"/>
                <w:sz w:val="24"/>
                <w:szCs w:val="20"/>
                <w:lang w:bidi="ar"/>
              </w:rPr>
              <w:t>应急</w:t>
            </w:r>
            <w:r>
              <w:rPr>
                <w:rFonts w:eastAsia="仿宋_GB2312"/>
                <w:snapToGrid w:val="0"/>
                <w:color w:val="auto"/>
                <w:sz w:val="24"/>
                <w:szCs w:val="20"/>
                <w:lang w:bidi="ar"/>
              </w:rPr>
              <w:t>监管人员执法资格培训、复训工作，确保执法人员培训率和持证上岗率达100%。强化年度执法计划导向，科学编制年度</w:t>
            </w:r>
            <w:r>
              <w:rPr>
                <w:rFonts w:hint="eastAsia" w:eastAsia="仿宋_GB2312"/>
                <w:snapToGrid w:val="0"/>
                <w:color w:val="auto"/>
                <w:sz w:val="24"/>
                <w:szCs w:val="20"/>
                <w:lang w:bidi="ar"/>
              </w:rPr>
              <w:t>监督检查</w:t>
            </w:r>
            <w:r>
              <w:rPr>
                <w:rFonts w:eastAsia="仿宋_GB2312"/>
                <w:snapToGrid w:val="0"/>
                <w:color w:val="auto"/>
                <w:sz w:val="24"/>
                <w:szCs w:val="20"/>
                <w:lang w:bidi="ar"/>
              </w:rPr>
              <w:t>计划。依托互联网+监管平台，加强执法规范化建设。</w:t>
            </w:r>
          </w:p>
          <w:p>
            <w:pPr>
              <w:snapToGrid w:val="0"/>
              <w:spacing w:line="300" w:lineRule="auto"/>
              <w:ind w:firstLine="482"/>
              <w:rPr>
                <w:rFonts w:eastAsia="仿宋_GB2312"/>
                <w:snapToGrid w:val="0"/>
                <w:sz w:val="24"/>
                <w:szCs w:val="20"/>
                <w:lang w:bidi="ar"/>
              </w:rPr>
            </w:pPr>
            <w:r>
              <w:rPr>
                <w:rFonts w:hint="eastAsia" w:eastAsia="仿宋_GB2312"/>
                <w:b/>
                <w:snapToGrid w:val="0"/>
                <w:sz w:val="24"/>
                <w:szCs w:val="20"/>
                <w:lang w:bidi="ar"/>
              </w:rPr>
              <w:t>3</w:t>
            </w:r>
            <w:r>
              <w:rPr>
                <w:rFonts w:eastAsia="仿宋_GB2312"/>
                <w:b/>
                <w:snapToGrid w:val="0"/>
                <w:sz w:val="24"/>
                <w:szCs w:val="20"/>
                <w:lang w:bidi="ar"/>
              </w:rPr>
              <w:t>.</w:t>
            </w:r>
            <w:r>
              <w:rPr>
                <w:rFonts w:hint="eastAsia" w:eastAsia="仿宋_GB2312"/>
                <w:b/>
                <w:snapToGrid w:val="0"/>
                <w:sz w:val="24"/>
                <w:szCs w:val="20"/>
                <w:lang w:bidi="ar"/>
              </w:rPr>
              <w:t>应急管理</w:t>
            </w:r>
            <w:r>
              <w:rPr>
                <w:rFonts w:eastAsia="仿宋_GB2312"/>
                <w:b/>
                <w:snapToGrid w:val="0"/>
                <w:sz w:val="24"/>
                <w:szCs w:val="20"/>
                <w:lang w:bidi="ar"/>
              </w:rPr>
              <w:t>网格化建设。</w:t>
            </w:r>
            <w:r>
              <w:rPr>
                <w:rFonts w:hint="eastAsia" w:eastAsia="仿宋_GB2312"/>
                <w:b/>
                <w:snapToGrid w:val="0"/>
                <w:sz w:val="24"/>
                <w:szCs w:val="20"/>
                <w:lang w:bidi="ar"/>
              </w:rPr>
              <w:t>加快</w:t>
            </w:r>
            <w:r>
              <w:rPr>
                <w:rFonts w:eastAsia="仿宋_GB2312"/>
                <w:snapToGrid w:val="0"/>
                <w:sz w:val="24"/>
                <w:szCs w:val="20"/>
                <w:lang w:bidi="ar"/>
              </w:rPr>
              <w:t>乡镇（街道）、村（社区）</w:t>
            </w:r>
            <w:r>
              <w:rPr>
                <w:rFonts w:hint="eastAsia" w:eastAsia="仿宋_GB2312"/>
                <w:snapToGrid w:val="0"/>
                <w:sz w:val="24"/>
                <w:szCs w:val="20"/>
                <w:lang w:bidi="ar"/>
              </w:rPr>
              <w:t>应急管理</w:t>
            </w:r>
            <w:r>
              <w:rPr>
                <w:rFonts w:eastAsia="仿宋_GB2312"/>
                <w:snapToGrid w:val="0"/>
                <w:sz w:val="24"/>
                <w:szCs w:val="20"/>
                <w:lang w:bidi="ar"/>
              </w:rPr>
              <w:t>网格</w:t>
            </w:r>
            <w:r>
              <w:rPr>
                <w:rFonts w:hint="eastAsia" w:eastAsia="仿宋_GB2312"/>
                <w:snapToGrid w:val="0"/>
                <w:sz w:val="24"/>
                <w:szCs w:val="20"/>
                <w:lang w:bidi="ar"/>
              </w:rPr>
              <w:t>化建设，</w:t>
            </w:r>
            <w:r>
              <w:rPr>
                <w:rFonts w:eastAsia="仿宋_GB2312"/>
                <w:snapToGrid w:val="0"/>
                <w:sz w:val="24"/>
                <w:szCs w:val="20"/>
                <w:lang w:bidi="ar"/>
              </w:rPr>
              <w:t>将安全生产、自然灾害等风险隐患巡查以及避险转移、抗灾自救等应急管理工作纳入网格员职责。</w:t>
            </w:r>
          </w:p>
          <w:p>
            <w:pPr>
              <w:snapToGrid w:val="0"/>
              <w:spacing w:line="300" w:lineRule="auto"/>
              <w:ind w:firstLine="482"/>
              <w:rPr>
                <w:rFonts w:eastAsia="仿宋_GB2312"/>
                <w:b/>
                <w:snapToGrid w:val="0"/>
                <w:sz w:val="24"/>
                <w:szCs w:val="20"/>
                <w:lang w:bidi="ar"/>
              </w:rPr>
            </w:pPr>
            <w:r>
              <w:rPr>
                <w:rFonts w:hint="eastAsia" w:eastAsia="仿宋_GB2312"/>
                <w:b/>
                <w:snapToGrid w:val="0"/>
                <w:sz w:val="24"/>
                <w:szCs w:val="20"/>
                <w:lang w:bidi="ar"/>
              </w:rPr>
              <w:t>4</w:t>
            </w:r>
            <w:r>
              <w:rPr>
                <w:rFonts w:eastAsia="仿宋_GB2312"/>
                <w:b/>
                <w:snapToGrid w:val="0"/>
                <w:sz w:val="24"/>
                <w:szCs w:val="20"/>
                <w:lang w:bidi="ar"/>
              </w:rPr>
              <w:t>.应急装备</w:t>
            </w:r>
            <w:r>
              <w:rPr>
                <w:rFonts w:hint="eastAsia" w:eastAsia="仿宋_GB2312"/>
                <w:b/>
                <w:snapToGrid w:val="0"/>
                <w:sz w:val="24"/>
                <w:szCs w:val="20"/>
                <w:lang w:bidi="ar"/>
              </w:rPr>
              <w:t>标准化配备</w:t>
            </w:r>
            <w:r>
              <w:rPr>
                <w:rFonts w:eastAsia="仿宋_GB2312"/>
                <w:b/>
                <w:snapToGrid w:val="0"/>
                <w:sz w:val="24"/>
                <w:szCs w:val="20"/>
                <w:lang w:bidi="ar"/>
              </w:rPr>
              <w:t>。</w:t>
            </w:r>
            <w:r>
              <w:rPr>
                <w:rFonts w:eastAsia="仿宋_GB2312"/>
                <w:snapToGrid w:val="0"/>
                <w:sz w:val="24"/>
                <w:szCs w:val="20"/>
                <w:lang w:bidi="ar"/>
              </w:rPr>
              <w:t>各乡镇（街道）按规定配齐应急救援装备和应急保障车辆。加强对已配备的生活物资、设备、设施进行维护保养，并组织设备、设施的使用人员进行培训，将经费纳入财政预算。</w:t>
            </w:r>
          </w:p>
          <w:p>
            <w:pPr>
              <w:snapToGrid w:val="0"/>
              <w:spacing w:line="300" w:lineRule="auto"/>
              <w:ind w:firstLine="482"/>
              <w:rPr>
                <w:rFonts w:eastAsia="仿宋_GB2312"/>
                <w:b/>
                <w:snapToGrid w:val="0"/>
                <w:sz w:val="24"/>
                <w:szCs w:val="20"/>
                <w:lang w:bidi="ar"/>
              </w:rPr>
            </w:pPr>
            <w:r>
              <w:rPr>
                <w:rFonts w:hint="eastAsia" w:eastAsia="仿宋_GB2312"/>
                <w:b/>
                <w:snapToGrid w:val="0"/>
                <w:sz w:val="24"/>
                <w:szCs w:val="20"/>
                <w:lang w:bidi="ar"/>
              </w:rPr>
              <w:t>5</w:t>
            </w:r>
            <w:r>
              <w:rPr>
                <w:rFonts w:eastAsia="仿宋_GB2312"/>
                <w:b/>
                <w:snapToGrid w:val="0"/>
                <w:sz w:val="24"/>
                <w:szCs w:val="20"/>
                <w:lang w:bidi="ar"/>
              </w:rPr>
              <w:t>.基层应急救援</w:t>
            </w:r>
            <w:r>
              <w:rPr>
                <w:rFonts w:hint="eastAsia" w:eastAsia="仿宋_GB2312"/>
                <w:b/>
                <w:snapToGrid w:val="0"/>
                <w:sz w:val="24"/>
                <w:szCs w:val="20"/>
                <w:lang w:bidi="ar"/>
              </w:rPr>
              <w:t>能力</w:t>
            </w:r>
            <w:r>
              <w:rPr>
                <w:rFonts w:eastAsia="仿宋_GB2312"/>
                <w:b/>
                <w:snapToGrid w:val="0"/>
                <w:sz w:val="24"/>
                <w:szCs w:val="20"/>
                <w:lang w:bidi="ar"/>
              </w:rPr>
              <w:t>建设。</w:t>
            </w:r>
            <w:r>
              <w:rPr>
                <w:rFonts w:eastAsia="仿宋_GB2312"/>
                <w:snapToGrid w:val="0"/>
                <w:sz w:val="24"/>
                <w:szCs w:val="20"/>
                <w:lang w:bidi="ar"/>
              </w:rPr>
              <w:t>推进应急救援服务站建设，并按标准落实用房、装备和人员配置。</w:t>
            </w:r>
            <w:r>
              <w:rPr>
                <w:rFonts w:hint="eastAsia" w:eastAsia="仿宋_GB2312"/>
                <w:snapToGrid w:val="0"/>
                <w:sz w:val="24"/>
                <w:szCs w:val="20"/>
                <w:lang w:bidi="ar"/>
              </w:rPr>
              <w:t>强化</w:t>
            </w:r>
            <w:r>
              <w:rPr>
                <w:rFonts w:eastAsia="仿宋_GB2312"/>
                <w:snapToGrid w:val="0"/>
                <w:sz w:val="24"/>
                <w:szCs w:val="20"/>
                <w:lang w:bidi="ar"/>
              </w:rPr>
              <w:t>基层</w:t>
            </w:r>
            <w:r>
              <w:rPr>
                <w:rFonts w:hint="eastAsia" w:eastAsia="仿宋_GB2312"/>
                <w:snapToGrid w:val="0"/>
                <w:sz w:val="24"/>
                <w:szCs w:val="20"/>
                <w:lang w:bidi="ar"/>
              </w:rPr>
              <w:t>应急</w:t>
            </w:r>
            <w:r>
              <w:rPr>
                <w:rFonts w:eastAsia="仿宋_GB2312"/>
                <w:snapToGrid w:val="0"/>
                <w:sz w:val="24"/>
                <w:szCs w:val="20"/>
                <w:lang w:bidi="ar"/>
              </w:rPr>
              <w:t>队伍</w:t>
            </w:r>
            <w:r>
              <w:rPr>
                <w:rFonts w:hint="eastAsia" w:eastAsia="仿宋_GB2312"/>
                <w:snapToGrid w:val="0"/>
                <w:sz w:val="24"/>
                <w:szCs w:val="20"/>
                <w:lang w:bidi="ar"/>
              </w:rPr>
              <w:t>救援</w:t>
            </w:r>
            <w:r>
              <w:rPr>
                <w:rFonts w:eastAsia="仿宋_GB2312"/>
                <w:snapToGrid w:val="0"/>
                <w:sz w:val="24"/>
                <w:szCs w:val="20"/>
                <w:lang w:bidi="ar"/>
              </w:rPr>
              <w:t>能力建设</w:t>
            </w:r>
            <w:r>
              <w:rPr>
                <w:rFonts w:hint="eastAsia" w:eastAsia="仿宋_GB2312"/>
                <w:snapToGrid w:val="0"/>
                <w:sz w:val="24"/>
                <w:szCs w:val="20"/>
                <w:lang w:bidi="ar"/>
              </w:rPr>
              <w:t>，</w:t>
            </w:r>
            <w:r>
              <w:rPr>
                <w:rFonts w:eastAsia="仿宋_GB2312"/>
                <w:snapToGrid w:val="0"/>
                <w:sz w:val="24"/>
                <w:szCs w:val="20"/>
                <w:lang w:bidi="ar"/>
              </w:rPr>
              <w:t>全面开展应急管理教育培训，将应急管理工作纳入干部教育培训内容。每年组织开展网格员应急管理业务培训，提高风险识别和应急处置能力。</w:t>
            </w:r>
          </w:p>
        </w:tc>
      </w:tr>
    </w:tbl>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169" w:name="_Toc19040"/>
      <w:bookmarkStart w:id="170" w:name="_Toc5327"/>
      <w:bookmarkStart w:id="171" w:name="_Toc2678"/>
      <w:bookmarkStart w:id="172" w:name="_Toc3807"/>
      <w:r>
        <w:rPr>
          <w:rFonts w:hint="eastAsia" w:ascii="Times New Roman" w:hAnsi="Times New Roman" w:eastAsia="楷体" w:cs="Times New Roman"/>
          <w:bCs w:val="0"/>
          <w:lang w:eastAsia="zh-CN"/>
        </w:rPr>
        <w:t xml:space="preserve">   </w:t>
      </w:r>
      <w:bookmarkStart w:id="173" w:name="_Toc88430425"/>
      <w:r>
        <w:rPr>
          <w:rFonts w:hint="eastAsia" w:ascii="Times New Roman" w:hAnsi="Times New Roman" w:eastAsia="楷体" w:cs="Times New Roman"/>
          <w:bCs w:val="0"/>
          <w:lang w:eastAsia="zh-CN"/>
        </w:rPr>
        <w:t>（四）</w:t>
      </w:r>
      <w:bookmarkEnd w:id="156"/>
      <w:bookmarkEnd w:id="157"/>
      <w:bookmarkEnd w:id="169"/>
      <w:bookmarkEnd w:id="170"/>
      <w:bookmarkEnd w:id="171"/>
      <w:bookmarkEnd w:id="172"/>
      <w:bookmarkStart w:id="174" w:name="_Toc19736"/>
      <w:bookmarkStart w:id="175" w:name="_Toc14162"/>
      <w:bookmarkStart w:id="176" w:name="_Toc9888"/>
      <w:bookmarkStart w:id="177" w:name="_Toc17127"/>
      <w:bookmarkStart w:id="178" w:name="_Toc12029"/>
      <w:bookmarkStart w:id="179" w:name="_Toc5880"/>
      <w:r>
        <w:rPr>
          <w:rFonts w:hint="eastAsia" w:ascii="Times New Roman" w:hAnsi="Times New Roman" w:eastAsia="楷体" w:cs="Times New Roman"/>
          <w:bCs w:val="0"/>
          <w:lang w:eastAsia="zh-CN"/>
        </w:rPr>
        <w:t>综合减灾救灾能力建设工程</w:t>
      </w:r>
      <w:bookmarkEnd w:id="173"/>
      <w:bookmarkEnd w:id="174"/>
      <w:bookmarkEnd w:id="175"/>
      <w:bookmarkEnd w:id="176"/>
      <w:bookmarkEnd w:id="177"/>
    </w:p>
    <w:p>
      <w:pPr>
        <w:snapToGrid w:val="0"/>
        <w:spacing w:line="300" w:lineRule="auto"/>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完善防灾减灾基础设施，提升基层综合减灾能力，全面推进县级应急物资储备库建设、交通运输和防汛防台抗旱等专业物资储备库建设、避灾安置场所规范化建设。</w:t>
      </w:r>
      <w:bookmarkEnd w:id="158"/>
      <w:bookmarkEnd w:id="159"/>
      <w:bookmarkEnd w:id="160"/>
      <w:bookmarkEnd w:id="161"/>
      <w:bookmarkEnd w:id="162"/>
      <w:bookmarkEnd w:id="163"/>
      <w:bookmarkEnd w:id="178"/>
      <w:bookmarkEnd w:id="179"/>
      <w:bookmarkStart w:id="180" w:name="_Toc3227"/>
      <w:bookmarkStart w:id="181" w:name="_Toc16138"/>
      <w:bookmarkStart w:id="182" w:name="_Toc10108"/>
      <w:bookmarkStart w:id="183" w:name="_Toc16967"/>
      <w:bookmarkStart w:id="184" w:name="_Toc7287"/>
      <w:bookmarkStart w:id="185" w:name="_Toc12896"/>
      <w:bookmarkStart w:id="186" w:name="_Toc26567"/>
      <w:bookmarkStart w:id="187" w:name="_Toc649"/>
      <w:bookmarkStart w:id="188" w:name="_Toc23391"/>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522" w:type="dxa"/>
            <w:vAlign w:val="center"/>
          </w:tcPr>
          <w:p>
            <w:pPr>
              <w:snapToGrid w:val="0"/>
              <w:spacing w:line="300" w:lineRule="auto"/>
              <w:jc w:val="center"/>
              <w:rPr>
                <w:rFonts w:eastAsia="宋体"/>
                <w:b/>
                <w:bCs/>
                <w:sz w:val="32"/>
                <w:szCs w:val="32"/>
                <w:shd w:val="clear" w:color="auto" w:fill="FFFFFF"/>
              </w:rPr>
            </w:pPr>
            <w:r>
              <w:rPr>
                <w:rFonts w:eastAsia="黑体"/>
                <w:sz w:val="28"/>
                <w:szCs w:val="28"/>
                <w:shd w:val="clear" w:color="auto" w:fill="FFFFFF"/>
              </w:rPr>
              <w:t>专栏</w:t>
            </w:r>
            <w:r>
              <w:rPr>
                <w:rFonts w:hint="eastAsia" w:eastAsia="黑体"/>
                <w:sz w:val="28"/>
                <w:szCs w:val="28"/>
                <w:shd w:val="clear" w:color="auto" w:fill="FFFFFF"/>
              </w:rPr>
              <w:t xml:space="preserve">5  </w:t>
            </w:r>
            <w:r>
              <w:rPr>
                <w:rFonts w:eastAsia="黑体"/>
                <w:sz w:val="28"/>
                <w:szCs w:val="28"/>
                <w:shd w:val="clear" w:color="auto" w:fill="FFFFFF"/>
              </w:rPr>
              <w:t>综合减灾救灾能力建设工程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center"/>
          </w:tcPr>
          <w:p>
            <w:pPr>
              <w:pStyle w:val="36"/>
              <w:snapToGrid w:val="0"/>
              <w:spacing w:line="300" w:lineRule="auto"/>
              <w:ind w:firstLine="480"/>
              <w:rPr>
                <w:rFonts w:ascii="仿宋_GB2312" w:hAnsi="仿宋_GB2312" w:eastAsia="仿宋_GB2312" w:cs="仿宋_GB2312"/>
                <w:b/>
                <w:bCs/>
                <w:snapToGrid w:val="0"/>
                <w:sz w:val="24"/>
              </w:rPr>
            </w:pPr>
            <w:r>
              <w:rPr>
                <w:rFonts w:hint="eastAsia" w:ascii="仿宋_GB2312" w:hAnsi="仿宋_GB2312" w:eastAsia="仿宋_GB2312" w:cs="仿宋_GB2312"/>
                <w:b/>
                <w:bCs/>
                <w:snapToGrid w:val="0"/>
                <w:sz w:val="24"/>
              </w:rPr>
              <w:t>1.应急物资储备库建设。</w:t>
            </w:r>
            <w:r>
              <w:rPr>
                <w:rFonts w:hint="eastAsia" w:ascii="仿宋_GB2312" w:hAnsi="仿宋_GB2312" w:eastAsia="仿宋_GB2312" w:cs="仿宋_GB2312"/>
                <w:snapToGrid w:val="0"/>
                <w:sz w:val="24"/>
              </w:rPr>
              <w:t>稳步推进县、乡镇（街道）、村（社区）三级应急物资储备库建设，建设完成一个与本级应急保障需求相匹配的现代化综合应急物资储备库</w:t>
            </w:r>
            <w:r>
              <w:rPr>
                <w:rFonts w:hint="eastAsia" w:ascii="仿宋_GB2312" w:hAnsi="仿宋_GB2312" w:eastAsia="仿宋_GB2312" w:cs="仿宋_GB2312"/>
                <w:snapToGrid w:val="0"/>
                <w:color w:val="auto"/>
                <w:sz w:val="24"/>
              </w:rPr>
              <w:t>，面积不少于1000平方米，</w:t>
            </w:r>
            <w:r>
              <w:rPr>
                <w:rFonts w:hint="eastAsia" w:ascii="仿宋_GB2312" w:hAnsi="仿宋_GB2312" w:eastAsia="仿宋_GB2312" w:cs="仿宋_GB2312"/>
                <w:snapToGrid w:val="0"/>
                <w:sz w:val="24"/>
              </w:rPr>
              <w:t>完善场地硬件条件。科学设计储备的品类、规模、结构，按照《浙江省应急物资储备参考标准（试行）》应配尽配，提升储备效能。建立应急物资智能保障及调用系统，接入省、市综合性应急物资信息管理平台，实现应急物资智能化统一储备、统一调度、统一支配。持续推进应急物资运力和配送体系建设，重点强化台风、暴雨、洪涝、地震等极端条件下运输车辆配置。</w:t>
            </w:r>
          </w:p>
          <w:p>
            <w:pPr>
              <w:pStyle w:val="36"/>
              <w:snapToGrid w:val="0"/>
              <w:spacing w:line="300" w:lineRule="auto"/>
              <w:ind w:firstLine="480"/>
              <w:rPr>
                <w:rFonts w:ascii="仿宋_GB2312" w:hAnsi="仿宋_GB2312" w:eastAsia="仿宋_GB2312" w:cs="仿宋_GB2312"/>
                <w:b/>
                <w:bCs/>
                <w:snapToGrid w:val="0"/>
                <w:sz w:val="24"/>
              </w:rPr>
            </w:pPr>
            <w:r>
              <w:rPr>
                <w:rFonts w:hint="eastAsia" w:ascii="仿宋_GB2312" w:hAnsi="仿宋_GB2312" w:eastAsia="仿宋_GB2312" w:cs="仿宋_GB2312"/>
                <w:b/>
                <w:bCs/>
                <w:snapToGrid w:val="0"/>
                <w:sz w:val="24"/>
              </w:rPr>
              <w:t>2.避灾安置场所规范化建设。</w:t>
            </w:r>
            <w:r>
              <w:rPr>
                <w:rFonts w:hint="eastAsia" w:ascii="仿宋_GB2312" w:hAnsi="仿宋_GB2312" w:eastAsia="仿宋_GB2312" w:cs="仿宋_GB2312"/>
                <w:snapToGrid w:val="0"/>
                <w:sz w:val="24"/>
              </w:rPr>
              <w:t>按照“标准化建设、规范化管理、长效化运作、全覆盖保障”要求，推进避灾安置场所规范化建设，切实提升避灾安置场所的辨识度及管理能力，强化避灾安置场所的服务保障能力和转移安置舒适度。到2025年避灾安置场所规范化建设率达100%。</w:t>
            </w:r>
          </w:p>
          <w:p>
            <w:pPr>
              <w:pStyle w:val="36"/>
              <w:snapToGrid w:val="0"/>
              <w:spacing w:line="300" w:lineRule="auto"/>
              <w:ind w:firstLine="480"/>
              <w:rPr>
                <w:rFonts w:ascii="仿宋_GB2312" w:hAnsi="仿宋_GB2312" w:eastAsia="仿宋_GB2312" w:cs="仿宋_GB2312"/>
                <w:bCs/>
                <w:snapToGrid w:val="0"/>
                <w:sz w:val="24"/>
              </w:rPr>
            </w:pPr>
            <w:r>
              <w:rPr>
                <w:rFonts w:hint="eastAsia" w:ascii="仿宋_GB2312" w:hAnsi="仿宋_GB2312" w:eastAsia="仿宋_GB2312" w:cs="仿宋_GB2312"/>
                <w:b/>
                <w:bCs/>
                <w:snapToGrid w:val="0"/>
                <w:sz w:val="24"/>
              </w:rPr>
              <w:t>3.综合减灾示范社区创建。</w:t>
            </w:r>
            <w:r>
              <w:rPr>
                <w:rFonts w:hint="eastAsia" w:ascii="仿宋_GB2312" w:hAnsi="仿宋_GB2312" w:eastAsia="仿宋_GB2312" w:cs="仿宋_GB2312"/>
                <w:bCs/>
                <w:snapToGrid w:val="0"/>
                <w:sz w:val="24"/>
              </w:rPr>
              <w:t>开展综合减灾示范创建行动</w:t>
            </w:r>
            <w:r>
              <w:rPr>
                <w:rFonts w:hint="eastAsia" w:ascii="仿宋_GB2312" w:hAnsi="仿宋_GB2312" w:eastAsia="仿宋_GB2312" w:cs="仿宋_GB2312"/>
                <w:bCs/>
                <w:snapToGrid w:val="0"/>
                <w:color w:val="auto"/>
                <w:sz w:val="24"/>
              </w:rPr>
              <w:t>，力争新建2个</w:t>
            </w:r>
            <w:r>
              <w:rPr>
                <w:rFonts w:hint="eastAsia" w:ascii="仿宋_GB2312" w:hAnsi="仿宋_GB2312" w:eastAsia="仿宋_GB2312" w:cs="仿宋_GB2312"/>
                <w:bCs/>
                <w:snapToGrid w:val="0"/>
                <w:sz w:val="24"/>
              </w:rPr>
              <w:t>省级综合减灾示范社区。</w:t>
            </w:r>
          </w:p>
          <w:p>
            <w:pPr>
              <w:snapToGrid w:val="0"/>
              <w:spacing w:line="300" w:lineRule="auto"/>
              <w:ind w:firstLine="482"/>
              <w:rPr>
                <w:rFonts w:eastAsia="仿宋_GB2312"/>
                <w:snapToGrid w:val="0"/>
                <w:sz w:val="24"/>
                <w:szCs w:val="20"/>
                <w:lang w:bidi="ar"/>
              </w:rPr>
            </w:pPr>
            <w:r>
              <w:rPr>
                <w:rFonts w:hint="eastAsia" w:ascii="仿宋_GB2312" w:hAnsi="仿宋_GB2312" w:eastAsia="仿宋_GB2312" w:cs="仿宋_GB2312"/>
                <w:bCs/>
                <w:snapToGrid w:val="0"/>
                <w:sz w:val="24"/>
                <w:szCs w:val="20"/>
              </w:rPr>
              <w:t>4.</w:t>
            </w:r>
            <w:r>
              <w:rPr>
                <w:rFonts w:eastAsia="仿宋_GB2312"/>
                <w:b/>
                <w:snapToGrid w:val="0"/>
                <w:sz w:val="24"/>
                <w:szCs w:val="20"/>
                <w:lang w:bidi="ar"/>
              </w:rPr>
              <w:t>应急救援航空体系建设</w:t>
            </w:r>
            <w:r>
              <w:rPr>
                <w:rFonts w:hint="eastAsia" w:eastAsia="仿宋_GB2312"/>
                <w:b/>
                <w:snapToGrid w:val="0"/>
                <w:sz w:val="24"/>
                <w:szCs w:val="20"/>
                <w:lang w:bidi="ar"/>
              </w:rPr>
              <w:t>。</w:t>
            </w:r>
            <w:r>
              <w:rPr>
                <w:rFonts w:hint="eastAsia" w:eastAsia="仿宋_GB2312"/>
                <w:snapToGrid w:val="0"/>
                <w:sz w:val="24"/>
                <w:szCs w:val="20"/>
                <w:lang w:bidi="ar"/>
              </w:rPr>
              <w:t>完善航空救援体系，进一步推进直升机临时起降点建设</w:t>
            </w:r>
          </w:p>
          <w:p>
            <w:pPr>
              <w:snapToGrid w:val="0"/>
              <w:spacing w:line="300" w:lineRule="auto"/>
              <w:ind w:firstLine="482"/>
              <w:rPr>
                <w:rFonts w:eastAsia="仿宋_GB2312"/>
                <w:snapToGrid w:val="0"/>
                <w:sz w:val="24"/>
                <w:szCs w:val="20"/>
                <w:lang w:bidi="ar"/>
              </w:rPr>
            </w:pPr>
            <w:r>
              <w:rPr>
                <w:rFonts w:hint="eastAsia" w:eastAsia="仿宋_GB2312"/>
                <w:b/>
                <w:snapToGrid w:val="0"/>
                <w:sz w:val="24"/>
                <w:szCs w:val="20"/>
                <w:lang w:bidi="ar"/>
              </w:rPr>
              <w:t>5.森林火灾应急处置能力建设。</w:t>
            </w:r>
            <w:r>
              <w:rPr>
                <w:rFonts w:hint="eastAsia" w:eastAsia="仿宋_GB2312"/>
                <w:snapToGrid w:val="0"/>
                <w:sz w:val="24"/>
                <w:szCs w:val="20"/>
                <w:lang w:bidi="ar"/>
              </w:rPr>
              <w:t>加强森林防灭火专业队伍建设。建设标准化的森林消防专业队营房，配建训练场、灭火装备、器材、车辆等，在全县东、中、西部地区配建3个物资储备库。全县森林高风险地区配备蓄水池，引水灭火等基础设施。建设视频热点监控系统，到2025年，全县森林面积50%以上建成森林防火智控系统。</w:t>
            </w:r>
          </w:p>
        </w:tc>
      </w:tr>
      <w:bookmarkEnd w:id="180"/>
      <w:bookmarkEnd w:id="181"/>
      <w:bookmarkEnd w:id="182"/>
      <w:bookmarkEnd w:id="183"/>
      <w:bookmarkEnd w:id="184"/>
      <w:bookmarkEnd w:id="185"/>
      <w:bookmarkEnd w:id="186"/>
      <w:bookmarkEnd w:id="187"/>
      <w:bookmarkEnd w:id="188"/>
    </w:tbl>
    <w:p>
      <w:pPr>
        <w:pStyle w:val="3"/>
        <w:snapToGrid w:val="0"/>
        <w:spacing w:before="120" w:after="120" w:line="300" w:lineRule="auto"/>
        <w:ind w:firstLine="643" w:firstLineChars="200"/>
        <w:rPr>
          <w:rFonts w:ascii="Times New Roman" w:hAnsi="Times New Roman" w:eastAsia="楷体" w:cs="Times New Roman"/>
          <w:bCs w:val="0"/>
          <w:color w:val="auto"/>
          <w:lang w:eastAsia="zh-CN"/>
        </w:rPr>
      </w:pPr>
      <w:bookmarkStart w:id="189" w:name="_Toc32247"/>
      <w:bookmarkStart w:id="190" w:name="_Toc19579"/>
      <w:bookmarkStart w:id="191" w:name="_Toc24098"/>
      <w:bookmarkStart w:id="192" w:name="_Toc14491"/>
      <w:r>
        <w:rPr>
          <w:rFonts w:hint="eastAsia" w:ascii="Times New Roman" w:hAnsi="Times New Roman" w:eastAsia="楷体" w:cs="Times New Roman"/>
          <w:bCs w:val="0"/>
          <w:lang w:eastAsia="zh-CN"/>
        </w:rPr>
        <w:t xml:space="preserve"> </w:t>
      </w:r>
      <w:r>
        <w:rPr>
          <w:rFonts w:hint="eastAsia" w:ascii="Times New Roman" w:hAnsi="Times New Roman" w:eastAsia="楷体" w:cs="Times New Roman"/>
          <w:bCs w:val="0"/>
          <w:color w:val="auto"/>
          <w:lang w:eastAsia="zh-CN"/>
        </w:rPr>
        <w:t xml:space="preserve"> </w:t>
      </w:r>
      <w:bookmarkStart w:id="193" w:name="_Toc88430426"/>
      <w:r>
        <w:rPr>
          <w:rFonts w:hint="eastAsia" w:ascii="Times New Roman" w:hAnsi="Times New Roman" w:eastAsia="楷体" w:cs="Times New Roman"/>
          <w:bCs w:val="0"/>
          <w:color w:val="auto"/>
          <w:lang w:eastAsia="zh-CN"/>
        </w:rPr>
        <w:t>（五）化工园区综合整治提升工程</w:t>
      </w:r>
      <w:bookmarkEnd w:id="193"/>
    </w:p>
    <w:p>
      <w:pPr>
        <w:snapToGrid w:val="0"/>
        <w:spacing w:line="300" w:lineRule="auto"/>
        <w:ind w:firstLine="640" w:firstLineChars="200"/>
        <w:rPr>
          <w:rFonts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深入排查化工园区安全风险，规范化工园区建设和安全管理，系统提升化工园区本质安全水平，增强化工园区安全应急保障能力，防范危险化学品重特大安全事故，实现化工园区的整体安全风险可控，确保人民群众生命财产安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522" w:type="dxa"/>
            <w:vAlign w:val="center"/>
          </w:tcPr>
          <w:p>
            <w:pPr>
              <w:snapToGrid w:val="0"/>
              <w:spacing w:line="300" w:lineRule="auto"/>
              <w:jc w:val="center"/>
              <w:rPr>
                <w:rFonts w:eastAsia="宋体"/>
                <w:b/>
                <w:bCs/>
                <w:sz w:val="32"/>
                <w:szCs w:val="32"/>
                <w:shd w:val="clear" w:color="auto" w:fill="FFFFFF"/>
              </w:rPr>
            </w:pPr>
            <w:r>
              <w:rPr>
                <w:rFonts w:eastAsia="黑体"/>
                <w:sz w:val="28"/>
                <w:szCs w:val="28"/>
                <w:shd w:val="clear" w:color="auto" w:fill="FFFFFF"/>
              </w:rPr>
              <w:t>专栏</w:t>
            </w:r>
            <w:r>
              <w:rPr>
                <w:rFonts w:hint="eastAsia" w:eastAsia="黑体"/>
                <w:sz w:val="28"/>
                <w:szCs w:val="28"/>
                <w:shd w:val="clear" w:color="auto" w:fill="FFFFFF"/>
              </w:rPr>
              <w:t>6  化工园区综合整治提升工程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center"/>
          </w:tcPr>
          <w:p>
            <w:pPr>
              <w:pStyle w:val="36"/>
              <w:snapToGrid w:val="0"/>
              <w:spacing w:line="300" w:lineRule="auto"/>
              <w:ind w:firstLine="480"/>
              <w:rPr>
                <w:rFonts w:ascii="仿宋_GB2312" w:hAnsi="仿宋_GB2312" w:eastAsia="仿宋_GB2312" w:cs="仿宋_GB2312"/>
                <w:bCs/>
                <w:snapToGrid w:val="0"/>
                <w:sz w:val="24"/>
              </w:rPr>
            </w:pPr>
            <w:r>
              <w:rPr>
                <w:rFonts w:hint="eastAsia" w:ascii="仿宋_GB2312" w:hAnsi="仿宋_GB2312" w:eastAsia="仿宋_GB2312" w:cs="仿宋_GB2312"/>
                <w:b/>
                <w:bCs/>
                <w:snapToGrid w:val="0"/>
                <w:sz w:val="24"/>
              </w:rPr>
              <w:t>1.合理规划布局。</w:t>
            </w:r>
            <w:r>
              <w:rPr>
                <w:rFonts w:hint="eastAsia" w:ascii="仿宋_GB2312" w:hAnsi="仿宋_GB2312" w:eastAsia="仿宋_GB2312" w:cs="仿宋_GB2312"/>
                <w:bCs/>
                <w:snapToGrid w:val="0"/>
                <w:sz w:val="24"/>
              </w:rPr>
              <w:t>园区内各企业的布局应满足安全防护距离的要求，并综合考虑主导风向、地势高低落差、企业装置之间的相互影响、产品类别、生产工艺、物料互供、公用设施保障、应急救援等因素，合理布置功能分区。评估化工园区布局的安全性和合理性，对多米诺效应进行分析，提出安全风险防范措施，降低区域安全风险，避免多米诺效应发生。</w:t>
            </w:r>
          </w:p>
          <w:p>
            <w:pPr>
              <w:pStyle w:val="36"/>
              <w:snapToGrid w:val="0"/>
              <w:spacing w:line="300" w:lineRule="auto"/>
              <w:ind w:firstLine="480"/>
              <w:rPr>
                <w:rFonts w:ascii="仿宋_GB2312" w:hAnsi="仿宋_GB2312" w:eastAsia="仿宋_GB2312" w:cs="仿宋_GB2312"/>
                <w:bCs/>
                <w:snapToGrid w:val="0"/>
                <w:sz w:val="24"/>
              </w:rPr>
            </w:pPr>
            <w:r>
              <w:rPr>
                <w:rFonts w:hint="eastAsia" w:ascii="仿宋_GB2312" w:hAnsi="仿宋_GB2312" w:eastAsia="仿宋_GB2312" w:cs="仿宋_GB2312"/>
                <w:b/>
                <w:bCs/>
                <w:snapToGrid w:val="0"/>
                <w:sz w:val="24"/>
              </w:rPr>
              <w:t>2.严格准入和退出</w:t>
            </w:r>
            <w:r>
              <w:rPr>
                <w:rFonts w:hint="eastAsia" w:ascii="仿宋_GB2312" w:hAnsi="仿宋_GB2312" w:eastAsia="仿宋_GB2312" w:cs="仿宋_GB2312"/>
                <w:bCs/>
                <w:snapToGrid w:val="0"/>
                <w:sz w:val="24"/>
              </w:rPr>
              <w:t>。严格安全审查管理，严禁已淘汰的落后产能进区入园，根据遂昌县“禁限控”目录严格控制高风险建设项目。从严审批涉及重点监管的危险化工工艺企业、重点监管危险化学品生产储存装置和危险化学品重大危险源的建设项目。凡存在重大安全隐患、生产工艺技术落后、不具备安全生产条件且难以治理的或整改后仍不能达到要求的企业，应予以关闭、退出园区。</w:t>
            </w:r>
          </w:p>
          <w:p>
            <w:pPr>
              <w:pStyle w:val="36"/>
              <w:snapToGrid w:val="0"/>
              <w:spacing w:line="300" w:lineRule="auto"/>
              <w:ind w:firstLine="480"/>
              <w:rPr>
                <w:rFonts w:ascii="仿宋_GB2312" w:hAnsi="仿宋_GB2312" w:eastAsia="仿宋_GB2312" w:cs="仿宋_GB2312"/>
                <w:bCs/>
                <w:snapToGrid w:val="0"/>
                <w:sz w:val="24"/>
              </w:rPr>
            </w:pPr>
            <w:bookmarkStart w:id="194" w:name="_Toc6819"/>
            <w:bookmarkStart w:id="195" w:name="_Toc16759"/>
            <w:r>
              <w:rPr>
                <w:rFonts w:hint="eastAsia" w:ascii="仿宋_GB2312" w:hAnsi="仿宋_GB2312" w:eastAsia="仿宋_GB2312" w:cs="仿宋_GB2312"/>
                <w:b/>
                <w:bCs/>
                <w:snapToGrid w:val="0"/>
                <w:sz w:val="24"/>
              </w:rPr>
              <w:t>3.完善园区公共设施。</w:t>
            </w:r>
            <w:r>
              <w:rPr>
                <w:rFonts w:hint="eastAsia" w:ascii="仿宋_GB2312" w:hAnsi="仿宋_GB2312" w:eastAsia="仿宋_GB2312" w:cs="仿宋_GB2312"/>
                <w:bCs/>
                <w:snapToGrid w:val="0"/>
                <w:sz w:val="24"/>
              </w:rPr>
              <w:t>结合园区产业特点，统筹考虑产业发展、安全生产、公用设施、物流输送、维修服务、应急救援等各方面的需求，以有利于安全生产为原则，完善水、电、气、风、污水处理、固体废物处理、公用管廊、道路交通、应急救援设施、消防设施、消防车道等公用工程配套和安全保障设施。</w:t>
            </w:r>
          </w:p>
          <w:p>
            <w:pPr>
              <w:pStyle w:val="36"/>
              <w:snapToGrid w:val="0"/>
              <w:spacing w:line="300" w:lineRule="auto"/>
              <w:ind w:firstLine="480"/>
              <w:rPr>
                <w:rFonts w:ascii="仿宋_GB2312" w:hAnsi="仿宋_GB2312" w:eastAsia="仿宋_GB2312" w:cs="仿宋_GB2312"/>
                <w:bCs/>
                <w:snapToGrid w:val="0"/>
                <w:sz w:val="24"/>
              </w:rPr>
            </w:pPr>
            <w:r>
              <w:rPr>
                <w:rFonts w:hint="eastAsia" w:ascii="仿宋_GB2312" w:hAnsi="仿宋_GB2312" w:eastAsia="仿宋_GB2312" w:cs="仿宋_GB2312"/>
                <w:b/>
                <w:bCs/>
                <w:snapToGrid w:val="0"/>
                <w:sz w:val="24"/>
              </w:rPr>
              <w:t>4.推进化工园区“五个一体化”建设</w:t>
            </w:r>
            <w:bookmarkEnd w:id="194"/>
            <w:bookmarkEnd w:id="195"/>
            <w:r>
              <w:rPr>
                <w:rFonts w:hint="eastAsia" w:ascii="仿宋_GB2312" w:hAnsi="仿宋_GB2312" w:eastAsia="仿宋_GB2312" w:cs="仿宋_GB2312"/>
                <w:b/>
                <w:bCs/>
                <w:snapToGrid w:val="0"/>
                <w:sz w:val="24"/>
              </w:rPr>
              <w:t>。</w:t>
            </w:r>
            <w:r>
              <w:rPr>
                <w:rFonts w:hint="eastAsia" w:ascii="仿宋_GB2312" w:hAnsi="仿宋_GB2312" w:eastAsia="仿宋_GB2312" w:cs="仿宋_GB2312"/>
                <w:bCs/>
                <w:snapToGrid w:val="0"/>
                <w:sz w:val="24"/>
              </w:rPr>
              <w:t>安全监管一体化建设。配备满足安全监管需要的人员，其中具有相关化工专业学历或化工安全生产实践经历的人员或注册安全工程师的人员数量不低于安全监管人员的50%。应急保障一体化建设。根据园区内企业的安全风险类型和实际需求配置专业的救援物资，建立专职的医化园区应急救援队伍，稳步推进城市消防站和气体防护站建设。危险源监控一体化建设。逐步完善安全监管和应急救援信息平台建设，构建基础信息库和风险隐患数据库，实现对化工园区内重点场所、重点设施在线实时监测、动态评估、及时自动预警和应急救援紧急调度，并将接入数据上传至县、市、省级应急管理部门。医疗救助一体化建设。以卫生院为依托，增加储备有针对性的急救药品，签订合作协议，设置专门绿色通道。人流物流管控一体化建设。完善化工园区人流和物流路线规划建立完善的门禁系统和视频监控系统，对易燃易爆、有毒有害化学品和危险废物等物料、人员、车辆进出实施全过程监管，逐步推进化工园区的封闭化管理。</w:t>
            </w:r>
          </w:p>
        </w:tc>
      </w:tr>
    </w:tbl>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196" w:name="_Toc88430427"/>
      <w:r>
        <w:rPr>
          <w:rFonts w:hint="eastAsia" w:ascii="Times New Roman" w:hAnsi="Times New Roman" w:eastAsia="楷体" w:cs="Times New Roman"/>
          <w:bCs w:val="0"/>
          <w:lang w:eastAsia="zh-CN"/>
        </w:rPr>
        <w:t>（六）全民安全素养提升工程</w:t>
      </w:r>
      <w:bookmarkEnd w:id="189"/>
      <w:bookmarkEnd w:id="190"/>
      <w:bookmarkEnd w:id="191"/>
      <w:bookmarkEnd w:id="192"/>
      <w:bookmarkEnd w:id="196"/>
    </w:p>
    <w:p>
      <w:pPr>
        <w:snapToGrid w:val="0"/>
        <w:spacing w:line="300" w:lineRule="auto"/>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立足“大应急、大安全、大减灾”理念，全面深入开展安全宣传“五进”工作，巩固和拓展全民安全素养提升渠道途径，积极推进“全民安全素养提升三年行动”，</w:t>
      </w:r>
      <w:r>
        <w:rPr>
          <w:rFonts w:hint="eastAsia" w:ascii="仿宋_GB2312" w:hAnsi="仿宋_GB2312" w:eastAsia="仿宋_GB2312" w:cs="仿宋_GB2312"/>
          <w:sz w:val="32"/>
          <w:szCs w:val="32"/>
        </w:rPr>
        <w:t>进一步提升全民安全素养和整体抗风险能力</w:t>
      </w:r>
      <w:r>
        <w:rPr>
          <w:rFonts w:hint="eastAsia" w:ascii="仿宋_GB2312" w:hAnsi="仿宋_GB2312" w:eastAsia="仿宋_GB2312" w:cs="仿宋_GB2312"/>
          <w:bCs/>
          <w:sz w:val="32"/>
          <w:szCs w:val="32"/>
        </w:rPr>
        <w:t>。</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522" w:type="dxa"/>
            <w:vAlign w:val="center"/>
          </w:tcPr>
          <w:p>
            <w:pPr>
              <w:snapToGrid w:val="0"/>
              <w:spacing w:line="300" w:lineRule="auto"/>
              <w:jc w:val="center"/>
              <w:rPr>
                <w:rFonts w:eastAsia="宋体"/>
                <w:b/>
                <w:bCs/>
                <w:sz w:val="32"/>
                <w:szCs w:val="32"/>
                <w:shd w:val="clear" w:color="auto" w:fill="FFFFFF"/>
              </w:rPr>
            </w:pPr>
            <w:r>
              <w:rPr>
                <w:rFonts w:eastAsia="黑体"/>
                <w:sz w:val="28"/>
                <w:szCs w:val="28"/>
                <w:shd w:val="clear" w:color="auto" w:fill="FFFFFF"/>
              </w:rPr>
              <w:t>专栏</w:t>
            </w:r>
            <w:r>
              <w:rPr>
                <w:rFonts w:hint="eastAsia" w:eastAsia="黑体"/>
                <w:sz w:val="28"/>
                <w:szCs w:val="28"/>
                <w:shd w:val="clear" w:color="auto" w:fill="FFFFFF"/>
              </w:rPr>
              <w:t xml:space="preserve">6   </w:t>
            </w:r>
            <w:r>
              <w:rPr>
                <w:rFonts w:eastAsia="黑体"/>
                <w:sz w:val="28"/>
                <w:szCs w:val="28"/>
                <w:shd w:val="clear" w:color="auto" w:fill="FFFFFF"/>
              </w:rPr>
              <w:t>全民安全素养提升工程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center"/>
          </w:tcPr>
          <w:p>
            <w:pPr>
              <w:pStyle w:val="36"/>
              <w:snapToGrid w:val="0"/>
              <w:spacing w:line="300" w:lineRule="auto"/>
              <w:ind w:firstLine="480"/>
              <w:rPr>
                <w:rFonts w:ascii="仿宋_GB2312" w:hAnsi="仿宋_GB2312" w:eastAsia="仿宋_GB2312" w:cs="仿宋_GB2312"/>
                <w:b/>
                <w:bCs/>
                <w:snapToGrid w:val="0"/>
                <w:sz w:val="24"/>
              </w:rPr>
            </w:pPr>
            <w:r>
              <w:rPr>
                <w:rFonts w:ascii="仿宋_GB2312" w:hAnsi="仿宋_GB2312" w:eastAsia="仿宋_GB2312" w:cs="仿宋_GB2312"/>
                <w:b/>
                <w:bCs/>
                <w:snapToGrid w:val="0"/>
                <w:sz w:val="24"/>
              </w:rPr>
              <w:t>1.安全培训载体建设。</w:t>
            </w:r>
            <w:r>
              <w:rPr>
                <w:rFonts w:ascii="仿宋_GB2312" w:hAnsi="仿宋_GB2312" w:eastAsia="仿宋_GB2312" w:cs="仿宋_GB2312"/>
                <w:bCs/>
                <w:snapToGrid w:val="0"/>
                <w:sz w:val="24"/>
              </w:rPr>
              <w:t>打造一批高品质的应急安全互动体验馆、消防体验馆。依托现有的文化礼堂，实现全县农村文化礼堂消防、道路交通、防汛防台等应急安全宣传全覆盖。至2025年，全县建成应急（安全）体验馆5家、消防体验点10家，其中市级精品应急（安全）综合体验馆1家、省级精品应急（安全）综合体验馆1家。</w:t>
            </w:r>
          </w:p>
          <w:p>
            <w:pPr>
              <w:pStyle w:val="36"/>
              <w:snapToGrid w:val="0"/>
              <w:spacing w:line="300" w:lineRule="auto"/>
              <w:ind w:firstLine="480"/>
              <w:rPr>
                <w:rFonts w:ascii="仿宋_GB2312" w:hAnsi="仿宋_GB2312" w:eastAsia="仿宋_GB2312" w:cs="仿宋_GB2312"/>
                <w:b/>
                <w:bCs/>
                <w:snapToGrid w:val="0"/>
                <w:sz w:val="24"/>
              </w:rPr>
            </w:pPr>
            <w:r>
              <w:rPr>
                <w:rFonts w:ascii="仿宋_GB2312" w:hAnsi="仿宋_GB2312" w:eastAsia="仿宋_GB2312" w:cs="仿宋_GB2312"/>
                <w:b/>
                <w:bCs/>
                <w:snapToGrid w:val="0"/>
                <w:sz w:val="24"/>
              </w:rPr>
              <w:t>2.安全生产“三类人员”安全培训。</w:t>
            </w:r>
            <w:r>
              <w:rPr>
                <w:rFonts w:ascii="仿宋_GB2312" w:hAnsi="仿宋_GB2312" w:eastAsia="仿宋_GB2312" w:cs="仿宋_GB2312"/>
                <w:bCs/>
                <w:snapToGrid w:val="0"/>
                <w:sz w:val="24"/>
              </w:rPr>
              <w:t>全面深化企业员工安全技能提升大培训，至2022年计划每年培训企业员工不少于2000人次，特别是全面加强危险化学品、非煤矿山等高危行业一线员工培训工作，逐步实现高危企业所有员工全覆盖。探索建设1个具有辐射引领作用的安全技能实训和特种作业人员实操考试示范基地、1家安全生产产教融合型企业。</w:t>
            </w:r>
            <w:r>
              <w:rPr>
                <w:rFonts w:ascii="Times New Roman" w:hAnsi="Times New Roman" w:eastAsia="楷体_GB2312"/>
                <w:bCs/>
                <w:sz w:val="24"/>
                <w:szCs w:val="20"/>
              </w:rPr>
              <w:t>（牵头单位：县应急管理局）</w:t>
            </w:r>
          </w:p>
          <w:p>
            <w:pPr>
              <w:pStyle w:val="36"/>
              <w:snapToGrid w:val="0"/>
              <w:spacing w:line="300" w:lineRule="auto"/>
              <w:ind w:firstLine="480"/>
              <w:rPr>
                <w:rFonts w:ascii="仿宋_GB2312" w:hAnsi="仿宋_GB2312" w:eastAsia="仿宋_GB2312" w:cs="仿宋_GB2312"/>
                <w:b/>
                <w:bCs/>
                <w:snapToGrid w:val="0"/>
                <w:sz w:val="24"/>
              </w:rPr>
            </w:pPr>
            <w:r>
              <w:rPr>
                <w:rFonts w:ascii="仿宋_GB2312" w:hAnsi="仿宋_GB2312" w:eastAsia="仿宋_GB2312" w:cs="仿宋_GB2312"/>
                <w:b/>
                <w:bCs/>
                <w:snapToGrid w:val="0"/>
                <w:sz w:val="24"/>
              </w:rPr>
              <w:t>3.全民安全素养宣教提升。</w:t>
            </w:r>
            <w:r>
              <w:rPr>
                <w:rFonts w:ascii="仿宋_GB2312" w:hAnsi="仿宋_GB2312" w:eastAsia="仿宋_GB2312" w:cs="仿宋_GB2312"/>
                <w:bCs/>
                <w:snapToGrid w:val="0"/>
                <w:sz w:val="24"/>
              </w:rPr>
              <w:t>大力开展应急管理“进企业、进农村、进社区、进学校、进家庭”等“五进”宣传活动，定期组织开展避险避灾逃生演练，切实提升公众自防自救能力。</w:t>
            </w:r>
          </w:p>
        </w:tc>
      </w:tr>
    </w:tbl>
    <w:p>
      <w:pPr>
        <w:pStyle w:val="2"/>
        <w:snapToGrid w:val="0"/>
        <w:spacing w:before="120" w:after="120" w:line="300" w:lineRule="auto"/>
        <w:ind w:firstLine="643" w:firstLineChars="200"/>
        <w:jc w:val="left"/>
        <w:rPr>
          <w:rFonts w:ascii="仿宋_GB2312" w:hAnsi="仿宋_GB2312" w:eastAsia="仿宋_GB2312" w:cs="仿宋_GB2312"/>
          <w:szCs w:val="32"/>
        </w:rPr>
      </w:pPr>
      <w:bookmarkStart w:id="197" w:name="_Toc88430428"/>
      <w:r>
        <w:rPr>
          <w:rFonts w:eastAsia="黑体"/>
          <w:lang w:bidi="zh-TW"/>
        </w:rPr>
        <w:t>五、保障措施</w:t>
      </w:r>
      <w:bookmarkEnd w:id="197"/>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198" w:name="_Toc88430429"/>
      <w:r>
        <w:rPr>
          <w:rFonts w:ascii="Times New Roman" w:hAnsi="Times New Roman" w:eastAsia="楷体" w:cs="Times New Roman"/>
          <w:bCs w:val="0"/>
          <w:lang w:eastAsia="zh-CN"/>
        </w:rPr>
        <w:t>（一）加强组织领导</w:t>
      </w:r>
      <w:bookmarkEnd w:id="198"/>
    </w:p>
    <w:p>
      <w:pPr>
        <w:snapToGrid w:val="0"/>
        <w:spacing w:line="300" w:lineRule="auto"/>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坚持党对应急管理工作的全面领导。各级党委政府要完善应急管理体制，细化工作职责，提升应急管理效能。各乡镇（街道）要切实履行属地管理责任，创新应急管理方式，优化工作流程。建立督导、考核和监督问责机制，抓好各项任务落实，确保规划任务有序推进、目标如期完成。</w:t>
      </w:r>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199" w:name="_Toc19325"/>
      <w:bookmarkStart w:id="200" w:name="_Toc2903"/>
      <w:bookmarkStart w:id="201" w:name="_Toc8966"/>
      <w:bookmarkStart w:id="202" w:name="_Toc16197"/>
      <w:bookmarkStart w:id="203" w:name="_Toc26293"/>
      <w:bookmarkStart w:id="204" w:name="_Toc8222"/>
      <w:bookmarkStart w:id="205" w:name="_Toc13855"/>
      <w:bookmarkStart w:id="206" w:name="_Toc22103"/>
      <w:bookmarkStart w:id="207" w:name="_Toc5328"/>
      <w:bookmarkStart w:id="208" w:name="_Toc88430430"/>
      <w:r>
        <w:rPr>
          <w:rFonts w:hint="eastAsia" w:ascii="Times New Roman" w:hAnsi="Times New Roman" w:eastAsia="楷体" w:cs="Times New Roman"/>
          <w:bCs w:val="0"/>
          <w:lang w:eastAsia="zh-CN"/>
        </w:rPr>
        <w:t>（二）加强支撑保障</w:t>
      </w:r>
      <w:bookmarkEnd w:id="199"/>
      <w:bookmarkEnd w:id="200"/>
      <w:bookmarkEnd w:id="201"/>
      <w:bookmarkEnd w:id="202"/>
      <w:bookmarkEnd w:id="203"/>
      <w:bookmarkEnd w:id="204"/>
      <w:bookmarkEnd w:id="205"/>
      <w:bookmarkEnd w:id="206"/>
      <w:bookmarkEnd w:id="207"/>
      <w:bookmarkEnd w:id="208"/>
    </w:p>
    <w:p>
      <w:pPr>
        <w:snapToGrid w:val="0"/>
        <w:spacing w:line="300" w:lineRule="auto"/>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财政、发改部门要对规划实施予以合理保障，加强政策、 资金及立项等方面的支持引导。充分发挥市场在资源配置中的重要作用，积极引导金融、保险、企业等社会力量参与应急管理工作，鼓励企业加大安全生产投入，形成政府、企业及社会多元化的安全生产投入机制。</w:t>
      </w:r>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209" w:name="_Toc16702"/>
      <w:bookmarkStart w:id="210" w:name="_Toc360"/>
      <w:bookmarkStart w:id="211" w:name="_Toc5011"/>
      <w:bookmarkStart w:id="212" w:name="_Toc26821"/>
      <w:bookmarkStart w:id="213" w:name="_Toc2985"/>
      <w:bookmarkStart w:id="214" w:name="_Toc22484"/>
      <w:bookmarkStart w:id="215" w:name="_Toc13837"/>
      <w:bookmarkStart w:id="216" w:name="_Toc24284"/>
      <w:bookmarkStart w:id="217" w:name="_Toc1119"/>
      <w:bookmarkStart w:id="218" w:name="_Toc88430431"/>
      <w:r>
        <w:rPr>
          <w:rFonts w:hint="eastAsia" w:ascii="Times New Roman" w:hAnsi="Times New Roman" w:eastAsia="楷体" w:cs="Times New Roman"/>
          <w:bCs w:val="0"/>
          <w:lang w:eastAsia="zh-CN"/>
        </w:rPr>
        <w:t>（三）加强协调衔接</w:t>
      </w:r>
      <w:bookmarkEnd w:id="209"/>
      <w:bookmarkEnd w:id="210"/>
      <w:bookmarkEnd w:id="211"/>
      <w:bookmarkEnd w:id="212"/>
      <w:bookmarkEnd w:id="213"/>
      <w:bookmarkEnd w:id="214"/>
      <w:bookmarkEnd w:id="215"/>
      <w:bookmarkEnd w:id="216"/>
      <w:bookmarkEnd w:id="217"/>
      <w:bookmarkEnd w:id="218"/>
    </w:p>
    <w:p>
      <w:pPr>
        <w:snapToGrid w:val="0"/>
        <w:spacing w:line="300" w:lineRule="auto"/>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建立健全规划实施协调与衔接机制，加强重大政策、重点工程项目与政府规划纲要和国土空间规划衔接，编制各地、各部门规划实施工作任务分解方案，会商研究规划实施过程中的问题，合理配置资源，避免重复建设。</w:t>
      </w:r>
    </w:p>
    <w:p>
      <w:pPr>
        <w:pStyle w:val="3"/>
        <w:snapToGrid w:val="0"/>
        <w:spacing w:before="120" w:after="120" w:line="300" w:lineRule="auto"/>
        <w:ind w:firstLine="643" w:firstLineChars="200"/>
        <w:rPr>
          <w:rFonts w:ascii="Times New Roman" w:hAnsi="Times New Roman" w:eastAsia="楷体" w:cs="Times New Roman"/>
          <w:bCs w:val="0"/>
          <w:lang w:eastAsia="zh-CN"/>
        </w:rPr>
      </w:pPr>
      <w:bookmarkStart w:id="219" w:name="_Toc25781"/>
      <w:bookmarkStart w:id="220" w:name="_Toc26046"/>
      <w:bookmarkStart w:id="221" w:name="_Toc24078"/>
      <w:bookmarkStart w:id="222" w:name="_Toc15963"/>
      <w:bookmarkStart w:id="223" w:name="_Toc23579"/>
      <w:bookmarkStart w:id="224" w:name="_Toc29097"/>
      <w:bookmarkStart w:id="225" w:name="_Toc22409"/>
      <w:bookmarkStart w:id="226" w:name="_Toc30988"/>
      <w:bookmarkStart w:id="227" w:name="_Toc19915"/>
      <w:bookmarkStart w:id="228" w:name="_Toc88430432"/>
      <w:r>
        <w:rPr>
          <w:rFonts w:hint="eastAsia" w:ascii="Times New Roman" w:hAnsi="Times New Roman" w:eastAsia="楷体" w:cs="Times New Roman"/>
          <w:bCs w:val="0"/>
          <w:lang w:eastAsia="zh-CN"/>
        </w:rPr>
        <w:t>（四）加强监督考核</w:t>
      </w:r>
      <w:bookmarkEnd w:id="219"/>
      <w:bookmarkEnd w:id="220"/>
      <w:bookmarkEnd w:id="221"/>
      <w:bookmarkEnd w:id="222"/>
      <w:bookmarkEnd w:id="223"/>
      <w:bookmarkEnd w:id="224"/>
      <w:bookmarkEnd w:id="225"/>
      <w:bookmarkEnd w:id="226"/>
      <w:bookmarkEnd w:id="227"/>
      <w:bookmarkEnd w:id="228"/>
    </w:p>
    <w:p>
      <w:pPr>
        <w:snapToGrid w:val="0"/>
        <w:spacing w:line="360" w:lineRule="auto"/>
        <w:ind w:firstLine="645"/>
        <w:sectPr>
          <w:pgSz w:w="11906" w:h="16838"/>
          <w:pgMar w:top="1440" w:right="1474" w:bottom="1418" w:left="1531" w:header="851" w:footer="992" w:gutter="0"/>
          <w:pgNumType w:start="1"/>
          <w:cols w:space="425" w:num="1"/>
          <w:docGrid w:type="lines" w:linePitch="312" w:charSpace="0"/>
        </w:sectPr>
      </w:pPr>
      <w:r>
        <w:rPr>
          <w:rFonts w:hint="eastAsia" w:ascii="仿宋_GB2312" w:hAnsi="仿宋_GB2312" w:eastAsia="仿宋_GB2312" w:cs="仿宋_GB2312"/>
          <w:sz w:val="32"/>
          <w:szCs w:val="32"/>
        </w:rPr>
        <w:t>建立规划实施跟踪评估制度，加强对本规划实施情况的跟踪分析和监督检查。组织开展规划实施中期和末期评估、统计，分析检查规划实施效果，找出规划实施中存在的问题，提出解决问题的对策措施。加强规划实施的社会监督，开展规划宣传和展示，及时公布规划的进展情况，营造全员共同参与和支持规划实施的氛围。</w:t>
      </w:r>
      <w:r>
        <w:rPr>
          <w:rFonts w:eastAsia="黑体"/>
          <w:sz w:val="28"/>
          <w:szCs w:val="28"/>
        </w:rPr>
        <w:fldChar w:fldCharType="end"/>
      </w:r>
    </w:p>
    <w:p>
      <w:pPr>
        <w:snapToGrid w:val="0"/>
      </w:pPr>
    </w:p>
    <w:sectPr>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engXian">
    <w:altName w:val="宋体"/>
    <w:panose1 w:val="02010600030101010101"/>
    <w:charset w:val="86"/>
    <w:family w:val="script"/>
    <w:pitch w:val="default"/>
    <w:sig w:usb0="00000000" w:usb1="00000000" w:usb2="00000016" w:usb3="00000000" w:csb0="0004000F" w:csb1="00000000"/>
  </w:font>
  <w:font w:name="DengXian">
    <w:altName w:val="宋体"/>
    <w:panose1 w:val="00000000000000000000"/>
    <w:charset w:val="86"/>
    <w:family w:val="auto"/>
    <w:pitch w:val="default"/>
    <w:sig w:usb0="00000000" w:usb1="00000000" w:usb2="00000000" w:usb3="00000000" w:csb0="00000000" w:csb1="00000000"/>
  </w:font>
  <w:font w:name="DengXian">
    <w:altName w:val="RomanS"/>
    <w:panose1 w:val="00000000000000000000"/>
    <w:charset w:val="00"/>
    <w:family w:val="auto"/>
    <w:pitch w:val="default"/>
    <w:sig w:usb0="00000000" w:usb1="0000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 w:name="DengXian Light">
    <w:altName w:val="宋体"/>
    <w:panose1 w:val="02010600030101010101"/>
    <w:charset w:val="86"/>
    <w:family w:val="script"/>
    <w:pitch w:val="default"/>
    <w:sig w:usb0="00000000" w:usb1="00000000"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RomanS">
    <w:panose1 w:val="02000400000000000000"/>
    <w:charset w:val="00"/>
    <w:family w:val="auto"/>
    <w:pitch w:val="default"/>
    <w:sig w:usb0="00000207" w:usb1="00000000" w:usb2="00000000" w:usb3="00000000" w:csb0="000001FF" w:csb1="00000000"/>
  </w:font>
  <w:font w:name="DengXian Light">
    <w:altName w:val="Rom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6"/>
      </w:rPr>
    </w:pPr>
    <w:r>
      <w:rPr>
        <w:rStyle w:val="26"/>
      </w:rPr>
      <w:fldChar w:fldCharType="begin"/>
    </w:r>
    <w:r>
      <w:rPr>
        <w:rStyle w:val="26"/>
      </w:rPr>
      <w:instrText xml:space="preserve">PAGE  </w:instrText>
    </w:r>
    <w:r>
      <w:rPr>
        <w:rStyle w:val="26"/>
      </w:rPr>
      <w:fldChar w:fldCharType="separate"/>
    </w:r>
    <w:r>
      <w:rPr>
        <w:rStyle w:val="26"/>
      </w:rPr>
      <w:t>12</w:t>
    </w:r>
    <w:r>
      <w:rPr>
        <w:rStyle w:val="26"/>
      </w:rPr>
      <w:fldChar w:fldCharType="end"/>
    </w:r>
  </w:p>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77E"/>
    <w:rsid w:val="0000154D"/>
    <w:rsid w:val="00001B1F"/>
    <w:rsid w:val="000024C3"/>
    <w:rsid w:val="000030E8"/>
    <w:rsid w:val="00010FB0"/>
    <w:rsid w:val="000144CA"/>
    <w:rsid w:val="0001714F"/>
    <w:rsid w:val="00023EA8"/>
    <w:rsid w:val="00025CF3"/>
    <w:rsid w:val="00026770"/>
    <w:rsid w:val="00031FA7"/>
    <w:rsid w:val="0003234B"/>
    <w:rsid w:val="00033D15"/>
    <w:rsid w:val="00033D60"/>
    <w:rsid w:val="000352E4"/>
    <w:rsid w:val="00037874"/>
    <w:rsid w:val="00040C75"/>
    <w:rsid w:val="0004429F"/>
    <w:rsid w:val="00045CAA"/>
    <w:rsid w:val="000574EA"/>
    <w:rsid w:val="00064F96"/>
    <w:rsid w:val="0007398A"/>
    <w:rsid w:val="00073995"/>
    <w:rsid w:val="00075489"/>
    <w:rsid w:val="00075813"/>
    <w:rsid w:val="00075A4E"/>
    <w:rsid w:val="00076FAE"/>
    <w:rsid w:val="00077DEA"/>
    <w:rsid w:val="00081848"/>
    <w:rsid w:val="00082902"/>
    <w:rsid w:val="00083691"/>
    <w:rsid w:val="0009084F"/>
    <w:rsid w:val="0009126C"/>
    <w:rsid w:val="00093C85"/>
    <w:rsid w:val="00093FA7"/>
    <w:rsid w:val="00095C9A"/>
    <w:rsid w:val="000A1676"/>
    <w:rsid w:val="000A2426"/>
    <w:rsid w:val="000A33F9"/>
    <w:rsid w:val="000A787F"/>
    <w:rsid w:val="000A79DF"/>
    <w:rsid w:val="000B2DE8"/>
    <w:rsid w:val="000B429F"/>
    <w:rsid w:val="000B4FD4"/>
    <w:rsid w:val="000B5194"/>
    <w:rsid w:val="000B657F"/>
    <w:rsid w:val="000C05C2"/>
    <w:rsid w:val="000C5A85"/>
    <w:rsid w:val="000C5B57"/>
    <w:rsid w:val="000D1676"/>
    <w:rsid w:val="000D6A14"/>
    <w:rsid w:val="000E0EC5"/>
    <w:rsid w:val="000E2C1A"/>
    <w:rsid w:val="000F0311"/>
    <w:rsid w:val="000F2C2D"/>
    <w:rsid w:val="000F3014"/>
    <w:rsid w:val="000F3E57"/>
    <w:rsid w:val="000F7AF8"/>
    <w:rsid w:val="00100017"/>
    <w:rsid w:val="00100742"/>
    <w:rsid w:val="001011F5"/>
    <w:rsid w:val="00101364"/>
    <w:rsid w:val="00102B30"/>
    <w:rsid w:val="001109BB"/>
    <w:rsid w:val="0011205D"/>
    <w:rsid w:val="00113D76"/>
    <w:rsid w:val="00117AC1"/>
    <w:rsid w:val="001200A6"/>
    <w:rsid w:val="00120A3D"/>
    <w:rsid w:val="00120D8D"/>
    <w:rsid w:val="001211C3"/>
    <w:rsid w:val="0012148C"/>
    <w:rsid w:val="001235DE"/>
    <w:rsid w:val="0012434F"/>
    <w:rsid w:val="00127FCC"/>
    <w:rsid w:val="00130D6A"/>
    <w:rsid w:val="00131397"/>
    <w:rsid w:val="00133315"/>
    <w:rsid w:val="00135EA7"/>
    <w:rsid w:val="00137882"/>
    <w:rsid w:val="00141AC1"/>
    <w:rsid w:val="00144186"/>
    <w:rsid w:val="00144B1B"/>
    <w:rsid w:val="00145F8D"/>
    <w:rsid w:val="00150A9C"/>
    <w:rsid w:val="001531A4"/>
    <w:rsid w:val="00161457"/>
    <w:rsid w:val="00161A60"/>
    <w:rsid w:val="00164355"/>
    <w:rsid w:val="00167199"/>
    <w:rsid w:val="00167EAA"/>
    <w:rsid w:val="001713B2"/>
    <w:rsid w:val="00172861"/>
    <w:rsid w:val="00175135"/>
    <w:rsid w:val="00175554"/>
    <w:rsid w:val="00177CE0"/>
    <w:rsid w:val="001803DF"/>
    <w:rsid w:val="001823E0"/>
    <w:rsid w:val="00185C79"/>
    <w:rsid w:val="001860A1"/>
    <w:rsid w:val="0018709D"/>
    <w:rsid w:val="0019052D"/>
    <w:rsid w:val="00191C0E"/>
    <w:rsid w:val="001920AF"/>
    <w:rsid w:val="001A0186"/>
    <w:rsid w:val="001A0A87"/>
    <w:rsid w:val="001A3061"/>
    <w:rsid w:val="001A4B2A"/>
    <w:rsid w:val="001A65C1"/>
    <w:rsid w:val="001A755F"/>
    <w:rsid w:val="001A79E1"/>
    <w:rsid w:val="001B27CB"/>
    <w:rsid w:val="001B675E"/>
    <w:rsid w:val="001C2503"/>
    <w:rsid w:val="001C27B7"/>
    <w:rsid w:val="001D0EB5"/>
    <w:rsid w:val="001D589A"/>
    <w:rsid w:val="001D616F"/>
    <w:rsid w:val="001E0892"/>
    <w:rsid w:val="001E08F4"/>
    <w:rsid w:val="001E326D"/>
    <w:rsid w:val="001E370B"/>
    <w:rsid w:val="001F0A4D"/>
    <w:rsid w:val="001F0C7D"/>
    <w:rsid w:val="001F4CFE"/>
    <w:rsid w:val="001F65C7"/>
    <w:rsid w:val="001F7EAC"/>
    <w:rsid w:val="001F7F68"/>
    <w:rsid w:val="00204C8F"/>
    <w:rsid w:val="00206CCF"/>
    <w:rsid w:val="00207452"/>
    <w:rsid w:val="00211C1D"/>
    <w:rsid w:val="002147B7"/>
    <w:rsid w:val="00215EC2"/>
    <w:rsid w:val="00216636"/>
    <w:rsid w:val="00220536"/>
    <w:rsid w:val="00221829"/>
    <w:rsid w:val="00224933"/>
    <w:rsid w:val="00225BDB"/>
    <w:rsid w:val="00226A19"/>
    <w:rsid w:val="00226F92"/>
    <w:rsid w:val="0023249E"/>
    <w:rsid w:val="00233F8F"/>
    <w:rsid w:val="00234543"/>
    <w:rsid w:val="0024312D"/>
    <w:rsid w:val="0024400B"/>
    <w:rsid w:val="00250FDF"/>
    <w:rsid w:val="00260CA1"/>
    <w:rsid w:val="00262339"/>
    <w:rsid w:val="00262725"/>
    <w:rsid w:val="00262B91"/>
    <w:rsid w:val="00271E20"/>
    <w:rsid w:val="00271E94"/>
    <w:rsid w:val="00272082"/>
    <w:rsid w:val="00272AB5"/>
    <w:rsid w:val="00274735"/>
    <w:rsid w:val="00274938"/>
    <w:rsid w:val="00280764"/>
    <w:rsid w:val="0028192F"/>
    <w:rsid w:val="0028201E"/>
    <w:rsid w:val="0028373C"/>
    <w:rsid w:val="00283762"/>
    <w:rsid w:val="002906D0"/>
    <w:rsid w:val="00295B41"/>
    <w:rsid w:val="002A1EAB"/>
    <w:rsid w:val="002A21F6"/>
    <w:rsid w:val="002A2C1F"/>
    <w:rsid w:val="002A5E5F"/>
    <w:rsid w:val="002A697D"/>
    <w:rsid w:val="002A7AA0"/>
    <w:rsid w:val="002B0DC9"/>
    <w:rsid w:val="002B273D"/>
    <w:rsid w:val="002B5A71"/>
    <w:rsid w:val="002B6C4E"/>
    <w:rsid w:val="002C1022"/>
    <w:rsid w:val="002C484A"/>
    <w:rsid w:val="002C595C"/>
    <w:rsid w:val="002D25E7"/>
    <w:rsid w:val="002D3D44"/>
    <w:rsid w:val="002D4684"/>
    <w:rsid w:val="002D46D6"/>
    <w:rsid w:val="002D4C93"/>
    <w:rsid w:val="002D4CF4"/>
    <w:rsid w:val="002D54C0"/>
    <w:rsid w:val="002D5DA0"/>
    <w:rsid w:val="002D6A84"/>
    <w:rsid w:val="002D6B59"/>
    <w:rsid w:val="002D7E25"/>
    <w:rsid w:val="002E04E7"/>
    <w:rsid w:val="002E5A64"/>
    <w:rsid w:val="002E673A"/>
    <w:rsid w:val="002F1FCF"/>
    <w:rsid w:val="002F266D"/>
    <w:rsid w:val="002F2F8A"/>
    <w:rsid w:val="002F582C"/>
    <w:rsid w:val="002F6A87"/>
    <w:rsid w:val="0030574C"/>
    <w:rsid w:val="00310039"/>
    <w:rsid w:val="00310B77"/>
    <w:rsid w:val="0031132B"/>
    <w:rsid w:val="0031223E"/>
    <w:rsid w:val="0031510E"/>
    <w:rsid w:val="00320F95"/>
    <w:rsid w:val="003228EE"/>
    <w:rsid w:val="0032573B"/>
    <w:rsid w:val="00325A7C"/>
    <w:rsid w:val="00327596"/>
    <w:rsid w:val="00332F5C"/>
    <w:rsid w:val="00336FD0"/>
    <w:rsid w:val="00343DEA"/>
    <w:rsid w:val="003452F2"/>
    <w:rsid w:val="00345481"/>
    <w:rsid w:val="00345EA3"/>
    <w:rsid w:val="00346368"/>
    <w:rsid w:val="00350CA8"/>
    <w:rsid w:val="003542BE"/>
    <w:rsid w:val="00354B7A"/>
    <w:rsid w:val="00357001"/>
    <w:rsid w:val="003574AC"/>
    <w:rsid w:val="00357E06"/>
    <w:rsid w:val="00363489"/>
    <w:rsid w:val="00364526"/>
    <w:rsid w:val="00364968"/>
    <w:rsid w:val="003663D8"/>
    <w:rsid w:val="0036787A"/>
    <w:rsid w:val="00370FDB"/>
    <w:rsid w:val="00372463"/>
    <w:rsid w:val="00373B5C"/>
    <w:rsid w:val="0037457F"/>
    <w:rsid w:val="003758C4"/>
    <w:rsid w:val="003760B2"/>
    <w:rsid w:val="00376D76"/>
    <w:rsid w:val="00380F7A"/>
    <w:rsid w:val="00381718"/>
    <w:rsid w:val="003819F3"/>
    <w:rsid w:val="00381EA6"/>
    <w:rsid w:val="003848AA"/>
    <w:rsid w:val="00384A47"/>
    <w:rsid w:val="00385ECA"/>
    <w:rsid w:val="00392720"/>
    <w:rsid w:val="00392943"/>
    <w:rsid w:val="00396117"/>
    <w:rsid w:val="00397943"/>
    <w:rsid w:val="003A6699"/>
    <w:rsid w:val="003B0B2A"/>
    <w:rsid w:val="003B1693"/>
    <w:rsid w:val="003B2253"/>
    <w:rsid w:val="003B24E4"/>
    <w:rsid w:val="003B776A"/>
    <w:rsid w:val="003C0122"/>
    <w:rsid w:val="003C0567"/>
    <w:rsid w:val="003C3400"/>
    <w:rsid w:val="003C3402"/>
    <w:rsid w:val="003C5B72"/>
    <w:rsid w:val="003C626B"/>
    <w:rsid w:val="003D121A"/>
    <w:rsid w:val="003D320F"/>
    <w:rsid w:val="003D3373"/>
    <w:rsid w:val="003D3EE9"/>
    <w:rsid w:val="003D3FB5"/>
    <w:rsid w:val="003D4491"/>
    <w:rsid w:val="003D5FD2"/>
    <w:rsid w:val="003E193A"/>
    <w:rsid w:val="003E24FE"/>
    <w:rsid w:val="003E373F"/>
    <w:rsid w:val="003E3B97"/>
    <w:rsid w:val="003E52C5"/>
    <w:rsid w:val="003E53BE"/>
    <w:rsid w:val="003E7174"/>
    <w:rsid w:val="003F0097"/>
    <w:rsid w:val="003F4D1B"/>
    <w:rsid w:val="003F7588"/>
    <w:rsid w:val="0040089B"/>
    <w:rsid w:val="00402F5B"/>
    <w:rsid w:val="004046CD"/>
    <w:rsid w:val="00404941"/>
    <w:rsid w:val="00407914"/>
    <w:rsid w:val="00413383"/>
    <w:rsid w:val="004144A3"/>
    <w:rsid w:val="00416650"/>
    <w:rsid w:val="00420590"/>
    <w:rsid w:val="004217EC"/>
    <w:rsid w:val="00423A14"/>
    <w:rsid w:val="00425BC8"/>
    <w:rsid w:val="004265A3"/>
    <w:rsid w:val="0043126F"/>
    <w:rsid w:val="00431985"/>
    <w:rsid w:val="00432B8B"/>
    <w:rsid w:val="00435985"/>
    <w:rsid w:val="00435C97"/>
    <w:rsid w:val="00436E56"/>
    <w:rsid w:val="0043762B"/>
    <w:rsid w:val="004406FD"/>
    <w:rsid w:val="004408B1"/>
    <w:rsid w:val="00441FEF"/>
    <w:rsid w:val="00443D6B"/>
    <w:rsid w:val="004461DE"/>
    <w:rsid w:val="00446D33"/>
    <w:rsid w:val="004555D7"/>
    <w:rsid w:val="00455DB6"/>
    <w:rsid w:val="00456D7B"/>
    <w:rsid w:val="004629E6"/>
    <w:rsid w:val="00464578"/>
    <w:rsid w:val="00467DFE"/>
    <w:rsid w:val="00467EC7"/>
    <w:rsid w:val="00467FE8"/>
    <w:rsid w:val="004709F5"/>
    <w:rsid w:val="00472BEB"/>
    <w:rsid w:val="004763AF"/>
    <w:rsid w:val="004802E2"/>
    <w:rsid w:val="004815B9"/>
    <w:rsid w:val="0048413A"/>
    <w:rsid w:val="00485660"/>
    <w:rsid w:val="00485E85"/>
    <w:rsid w:val="00492243"/>
    <w:rsid w:val="004A32AD"/>
    <w:rsid w:val="004A4CAE"/>
    <w:rsid w:val="004A5CB1"/>
    <w:rsid w:val="004A6107"/>
    <w:rsid w:val="004B0977"/>
    <w:rsid w:val="004B3024"/>
    <w:rsid w:val="004B34FA"/>
    <w:rsid w:val="004C1319"/>
    <w:rsid w:val="004C590B"/>
    <w:rsid w:val="004D42A5"/>
    <w:rsid w:val="004D5AB5"/>
    <w:rsid w:val="004D60D5"/>
    <w:rsid w:val="004D68FA"/>
    <w:rsid w:val="004D7E49"/>
    <w:rsid w:val="004E1160"/>
    <w:rsid w:val="004E1DC5"/>
    <w:rsid w:val="004E42F5"/>
    <w:rsid w:val="004F1B1E"/>
    <w:rsid w:val="004F4472"/>
    <w:rsid w:val="004F5F5D"/>
    <w:rsid w:val="005003CA"/>
    <w:rsid w:val="005045E5"/>
    <w:rsid w:val="00507DCB"/>
    <w:rsid w:val="00513547"/>
    <w:rsid w:val="00513D34"/>
    <w:rsid w:val="0052179F"/>
    <w:rsid w:val="0052262E"/>
    <w:rsid w:val="0052489B"/>
    <w:rsid w:val="00525705"/>
    <w:rsid w:val="005262EA"/>
    <w:rsid w:val="00531348"/>
    <w:rsid w:val="0053241A"/>
    <w:rsid w:val="00532E9D"/>
    <w:rsid w:val="005332B4"/>
    <w:rsid w:val="00533561"/>
    <w:rsid w:val="005363CB"/>
    <w:rsid w:val="00537B12"/>
    <w:rsid w:val="0054225B"/>
    <w:rsid w:val="00542411"/>
    <w:rsid w:val="005433B5"/>
    <w:rsid w:val="0054497F"/>
    <w:rsid w:val="00544EDB"/>
    <w:rsid w:val="00550201"/>
    <w:rsid w:val="00551AE8"/>
    <w:rsid w:val="0055526D"/>
    <w:rsid w:val="00564E9C"/>
    <w:rsid w:val="005651BC"/>
    <w:rsid w:val="00565391"/>
    <w:rsid w:val="00567157"/>
    <w:rsid w:val="00571B73"/>
    <w:rsid w:val="00572663"/>
    <w:rsid w:val="00572C97"/>
    <w:rsid w:val="00581CA8"/>
    <w:rsid w:val="00583241"/>
    <w:rsid w:val="00583967"/>
    <w:rsid w:val="0058485B"/>
    <w:rsid w:val="0059108C"/>
    <w:rsid w:val="00591A03"/>
    <w:rsid w:val="005A0817"/>
    <w:rsid w:val="005A0E63"/>
    <w:rsid w:val="005A24C8"/>
    <w:rsid w:val="005A3FD4"/>
    <w:rsid w:val="005B2A16"/>
    <w:rsid w:val="005B780D"/>
    <w:rsid w:val="005C119E"/>
    <w:rsid w:val="005C1675"/>
    <w:rsid w:val="005C2D14"/>
    <w:rsid w:val="005D3E85"/>
    <w:rsid w:val="005E0D35"/>
    <w:rsid w:val="005E127B"/>
    <w:rsid w:val="005E382A"/>
    <w:rsid w:val="005E5807"/>
    <w:rsid w:val="005E5FCF"/>
    <w:rsid w:val="005E6328"/>
    <w:rsid w:val="005F17E4"/>
    <w:rsid w:val="005F71C5"/>
    <w:rsid w:val="005F7DD5"/>
    <w:rsid w:val="00603DC7"/>
    <w:rsid w:val="00604AAF"/>
    <w:rsid w:val="00606B42"/>
    <w:rsid w:val="006076B3"/>
    <w:rsid w:val="00621885"/>
    <w:rsid w:val="0062417F"/>
    <w:rsid w:val="00624EB7"/>
    <w:rsid w:val="00632110"/>
    <w:rsid w:val="006338AA"/>
    <w:rsid w:val="006338CE"/>
    <w:rsid w:val="00633CC7"/>
    <w:rsid w:val="006343F8"/>
    <w:rsid w:val="00637D17"/>
    <w:rsid w:val="00641265"/>
    <w:rsid w:val="00641C5A"/>
    <w:rsid w:val="006440AB"/>
    <w:rsid w:val="00646905"/>
    <w:rsid w:val="00650409"/>
    <w:rsid w:val="00660146"/>
    <w:rsid w:val="00661EB6"/>
    <w:rsid w:val="00662D5B"/>
    <w:rsid w:val="00662F7D"/>
    <w:rsid w:val="00663F19"/>
    <w:rsid w:val="006666EA"/>
    <w:rsid w:val="006723C7"/>
    <w:rsid w:val="00672AD3"/>
    <w:rsid w:val="00675A86"/>
    <w:rsid w:val="0068283F"/>
    <w:rsid w:val="00684754"/>
    <w:rsid w:val="00684E37"/>
    <w:rsid w:val="00687F8B"/>
    <w:rsid w:val="00694CEB"/>
    <w:rsid w:val="00694EF8"/>
    <w:rsid w:val="00696515"/>
    <w:rsid w:val="006A048D"/>
    <w:rsid w:val="006A1E33"/>
    <w:rsid w:val="006A2595"/>
    <w:rsid w:val="006A273D"/>
    <w:rsid w:val="006A31E9"/>
    <w:rsid w:val="006A3ABE"/>
    <w:rsid w:val="006A6257"/>
    <w:rsid w:val="006A6B76"/>
    <w:rsid w:val="006B0CB2"/>
    <w:rsid w:val="006B1006"/>
    <w:rsid w:val="006B160A"/>
    <w:rsid w:val="006B2A6F"/>
    <w:rsid w:val="006B2EA4"/>
    <w:rsid w:val="006B2FED"/>
    <w:rsid w:val="006B76C9"/>
    <w:rsid w:val="006B7E91"/>
    <w:rsid w:val="006C088C"/>
    <w:rsid w:val="006C0907"/>
    <w:rsid w:val="006C1D6E"/>
    <w:rsid w:val="006C2B23"/>
    <w:rsid w:val="006C30A2"/>
    <w:rsid w:val="006C6416"/>
    <w:rsid w:val="006D1065"/>
    <w:rsid w:val="006E04E2"/>
    <w:rsid w:val="006E0C80"/>
    <w:rsid w:val="006E19B0"/>
    <w:rsid w:val="006E2113"/>
    <w:rsid w:val="006E2952"/>
    <w:rsid w:val="006E380C"/>
    <w:rsid w:val="006E6E70"/>
    <w:rsid w:val="006E70A9"/>
    <w:rsid w:val="006F0BFE"/>
    <w:rsid w:val="006F459B"/>
    <w:rsid w:val="006F4C9F"/>
    <w:rsid w:val="006F7DD3"/>
    <w:rsid w:val="00707635"/>
    <w:rsid w:val="0071372D"/>
    <w:rsid w:val="00713B70"/>
    <w:rsid w:val="0071460A"/>
    <w:rsid w:val="00715830"/>
    <w:rsid w:val="007163D7"/>
    <w:rsid w:val="00716DE4"/>
    <w:rsid w:val="00720D45"/>
    <w:rsid w:val="0072348E"/>
    <w:rsid w:val="00725981"/>
    <w:rsid w:val="00726738"/>
    <w:rsid w:val="0072784C"/>
    <w:rsid w:val="00727B5A"/>
    <w:rsid w:val="00730D7F"/>
    <w:rsid w:val="0073325D"/>
    <w:rsid w:val="00734D6C"/>
    <w:rsid w:val="00734DE2"/>
    <w:rsid w:val="0073616B"/>
    <w:rsid w:val="007428DA"/>
    <w:rsid w:val="00744B12"/>
    <w:rsid w:val="0074709F"/>
    <w:rsid w:val="00747C43"/>
    <w:rsid w:val="007504FD"/>
    <w:rsid w:val="00751C73"/>
    <w:rsid w:val="0075594C"/>
    <w:rsid w:val="007617EA"/>
    <w:rsid w:val="00763A38"/>
    <w:rsid w:val="00763B25"/>
    <w:rsid w:val="00764E82"/>
    <w:rsid w:val="0076688C"/>
    <w:rsid w:val="00770D24"/>
    <w:rsid w:val="0077542A"/>
    <w:rsid w:val="00776702"/>
    <w:rsid w:val="00783569"/>
    <w:rsid w:val="0078489E"/>
    <w:rsid w:val="00785521"/>
    <w:rsid w:val="0079569D"/>
    <w:rsid w:val="0079700A"/>
    <w:rsid w:val="0079701C"/>
    <w:rsid w:val="007973E6"/>
    <w:rsid w:val="00797838"/>
    <w:rsid w:val="007A4A15"/>
    <w:rsid w:val="007B2407"/>
    <w:rsid w:val="007B2664"/>
    <w:rsid w:val="007B26FD"/>
    <w:rsid w:val="007B63B1"/>
    <w:rsid w:val="007B6E4E"/>
    <w:rsid w:val="007C00E2"/>
    <w:rsid w:val="007C25C8"/>
    <w:rsid w:val="007C2BA5"/>
    <w:rsid w:val="007D0C47"/>
    <w:rsid w:val="007D11D3"/>
    <w:rsid w:val="007E7A30"/>
    <w:rsid w:val="007F512B"/>
    <w:rsid w:val="008029A3"/>
    <w:rsid w:val="00803D29"/>
    <w:rsid w:val="0081048D"/>
    <w:rsid w:val="00812ED7"/>
    <w:rsid w:val="00813902"/>
    <w:rsid w:val="00814628"/>
    <w:rsid w:val="00817599"/>
    <w:rsid w:val="008216D5"/>
    <w:rsid w:val="008225FF"/>
    <w:rsid w:val="008226D2"/>
    <w:rsid w:val="008233F6"/>
    <w:rsid w:val="00827FF9"/>
    <w:rsid w:val="00834536"/>
    <w:rsid w:val="00834CA1"/>
    <w:rsid w:val="00836029"/>
    <w:rsid w:val="0083630B"/>
    <w:rsid w:val="00840ED8"/>
    <w:rsid w:val="00841739"/>
    <w:rsid w:val="0084189A"/>
    <w:rsid w:val="00842056"/>
    <w:rsid w:val="00843029"/>
    <w:rsid w:val="00844DB1"/>
    <w:rsid w:val="00846B52"/>
    <w:rsid w:val="00850419"/>
    <w:rsid w:val="008555C0"/>
    <w:rsid w:val="00855EFB"/>
    <w:rsid w:val="00864577"/>
    <w:rsid w:val="00864FBE"/>
    <w:rsid w:val="00867315"/>
    <w:rsid w:val="00872A68"/>
    <w:rsid w:val="00874DA2"/>
    <w:rsid w:val="00875D11"/>
    <w:rsid w:val="0087612B"/>
    <w:rsid w:val="008766D8"/>
    <w:rsid w:val="0088086E"/>
    <w:rsid w:val="00880906"/>
    <w:rsid w:val="00880A5D"/>
    <w:rsid w:val="00880C57"/>
    <w:rsid w:val="00884A08"/>
    <w:rsid w:val="00887A59"/>
    <w:rsid w:val="008903BB"/>
    <w:rsid w:val="008915DC"/>
    <w:rsid w:val="0089317C"/>
    <w:rsid w:val="00894080"/>
    <w:rsid w:val="00894CA2"/>
    <w:rsid w:val="00894DF5"/>
    <w:rsid w:val="00894F2D"/>
    <w:rsid w:val="0089761A"/>
    <w:rsid w:val="008A1C38"/>
    <w:rsid w:val="008A392D"/>
    <w:rsid w:val="008A5BFB"/>
    <w:rsid w:val="008B271A"/>
    <w:rsid w:val="008B70FB"/>
    <w:rsid w:val="008C0685"/>
    <w:rsid w:val="008C0AAA"/>
    <w:rsid w:val="008C1CD0"/>
    <w:rsid w:val="008C2795"/>
    <w:rsid w:val="008C424F"/>
    <w:rsid w:val="008C59FC"/>
    <w:rsid w:val="008C6799"/>
    <w:rsid w:val="008D0117"/>
    <w:rsid w:val="008D1B63"/>
    <w:rsid w:val="008D380E"/>
    <w:rsid w:val="008D4A8B"/>
    <w:rsid w:val="008D6C4A"/>
    <w:rsid w:val="008E12B2"/>
    <w:rsid w:val="008E143E"/>
    <w:rsid w:val="008E18FC"/>
    <w:rsid w:val="008E4C01"/>
    <w:rsid w:val="008E5489"/>
    <w:rsid w:val="008E54F2"/>
    <w:rsid w:val="008F0BAC"/>
    <w:rsid w:val="008F1EEF"/>
    <w:rsid w:val="008F345D"/>
    <w:rsid w:val="008F3A31"/>
    <w:rsid w:val="009023B1"/>
    <w:rsid w:val="00907E30"/>
    <w:rsid w:val="0091275B"/>
    <w:rsid w:val="00912E26"/>
    <w:rsid w:val="00914620"/>
    <w:rsid w:val="00915907"/>
    <w:rsid w:val="00916453"/>
    <w:rsid w:val="0091664A"/>
    <w:rsid w:val="00916FEC"/>
    <w:rsid w:val="00921410"/>
    <w:rsid w:val="00921B51"/>
    <w:rsid w:val="00921E11"/>
    <w:rsid w:val="00922361"/>
    <w:rsid w:val="00922D7F"/>
    <w:rsid w:val="0092302F"/>
    <w:rsid w:val="00926E1B"/>
    <w:rsid w:val="00927D3F"/>
    <w:rsid w:val="00931599"/>
    <w:rsid w:val="0093550B"/>
    <w:rsid w:val="00936E14"/>
    <w:rsid w:val="009373D7"/>
    <w:rsid w:val="00940654"/>
    <w:rsid w:val="00944D45"/>
    <w:rsid w:val="009453BE"/>
    <w:rsid w:val="00947DA4"/>
    <w:rsid w:val="00955596"/>
    <w:rsid w:val="0095719C"/>
    <w:rsid w:val="009601F7"/>
    <w:rsid w:val="009619B0"/>
    <w:rsid w:val="00962196"/>
    <w:rsid w:val="00962A19"/>
    <w:rsid w:val="00964B58"/>
    <w:rsid w:val="00966579"/>
    <w:rsid w:val="0097015D"/>
    <w:rsid w:val="009707C8"/>
    <w:rsid w:val="009742A6"/>
    <w:rsid w:val="00974526"/>
    <w:rsid w:val="00974647"/>
    <w:rsid w:val="00976BD3"/>
    <w:rsid w:val="009776A7"/>
    <w:rsid w:val="00987557"/>
    <w:rsid w:val="009918A1"/>
    <w:rsid w:val="0099223D"/>
    <w:rsid w:val="00996A8E"/>
    <w:rsid w:val="00997080"/>
    <w:rsid w:val="009974B8"/>
    <w:rsid w:val="009A2018"/>
    <w:rsid w:val="009A54B5"/>
    <w:rsid w:val="009A613F"/>
    <w:rsid w:val="009A66D4"/>
    <w:rsid w:val="009A7076"/>
    <w:rsid w:val="009A7322"/>
    <w:rsid w:val="009B0B3A"/>
    <w:rsid w:val="009B16F5"/>
    <w:rsid w:val="009B2D39"/>
    <w:rsid w:val="009B4038"/>
    <w:rsid w:val="009C337F"/>
    <w:rsid w:val="009D07E0"/>
    <w:rsid w:val="009D4C80"/>
    <w:rsid w:val="009D540C"/>
    <w:rsid w:val="009E3E23"/>
    <w:rsid w:val="009E47BD"/>
    <w:rsid w:val="009E5D7A"/>
    <w:rsid w:val="009E6536"/>
    <w:rsid w:val="009F06A9"/>
    <w:rsid w:val="009F084C"/>
    <w:rsid w:val="009F1232"/>
    <w:rsid w:val="009F155A"/>
    <w:rsid w:val="009F5E17"/>
    <w:rsid w:val="009F71B8"/>
    <w:rsid w:val="009F792B"/>
    <w:rsid w:val="00A00ABC"/>
    <w:rsid w:val="00A01678"/>
    <w:rsid w:val="00A025DA"/>
    <w:rsid w:val="00A03D4E"/>
    <w:rsid w:val="00A07A1F"/>
    <w:rsid w:val="00A11009"/>
    <w:rsid w:val="00A13109"/>
    <w:rsid w:val="00A156A0"/>
    <w:rsid w:val="00A20987"/>
    <w:rsid w:val="00A219CA"/>
    <w:rsid w:val="00A27629"/>
    <w:rsid w:val="00A35DB0"/>
    <w:rsid w:val="00A35F19"/>
    <w:rsid w:val="00A377BF"/>
    <w:rsid w:val="00A44E1A"/>
    <w:rsid w:val="00A4525F"/>
    <w:rsid w:val="00A455F4"/>
    <w:rsid w:val="00A45B0C"/>
    <w:rsid w:val="00A50B0C"/>
    <w:rsid w:val="00A521B9"/>
    <w:rsid w:val="00A52E92"/>
    <w:rsid w:val="00A5304B"/>
    <w:rsid w:val="00A54A0A"/>
    <w:rsid w:val="00A5616C"/>
    <w:rsid w:val="00A57A10"/>
    <w:rsid w:val="00A6059C"/>
    <w:rsid w:val="00A64BD0"/>
    <w:rsid w:val="00A6689D"/>
    <w:rsid w:val="00A678EC"/>
    <w:rsid w:val="00A77EBF"/>
    <w:rsid w:val="00A83117"/>
    <w:rsid w:val="00A83B5E"/>
    <w:rsid w:val="00A86CC6"/>
    <w:rsid w:val="00A87E2B"/>
    <w:rsid w:val="00A9061A"/>
    <w:rsid w:val="00A90C5A"/>
    <w:rsid w:val="00A9230D"/>
    <w:rsid w:val="00A930A1"/>
    <w:rsid w:val="00AA19CD"/>
    <w:rsid w:val="00AA2A40"/>
    <w:rsid w:val="00AA2C58"/>
    <w:rsid w:val="00AA4D75"/>
    <w:rsid w:val="00AA4FF7"/>
    <w:rsid w:val="00AB05A1"/>
    <w:rsid w:val="00AB0693"/>
    <w:rsid w:val="00AB735D"/>
    <w:rsid w:val="00AC3183"/>
    <w:rsid w:val="00AC6958"/>
    <w:rsid w:val="00AC6AFC"/>
    <w:rsid w:val="00AC6DF9"/>
    <w:rsid w:val="00AC7CA3"/>
    <w:rsid w:val="00AD04AC"/>
    <w:rsid w:val="00AD085F"/>
    <w:rsid w:val="00AD0E5C"/>
    <w:rsid w:val="00AD1FC5"/>
    <w:rsid w:val="00AE05D9"/>
    <w:rsid w:val="00AE13A8"/>
    <w:rsid w:val="00AE53A0"/>
    <w:rsid w:val="00AE5855"/>
    <w:rsid w:val="00AE74A5"/>
    <w:rsid w:val="00AF237F"/>
    <w:rsid w:val="00AF5675"/>
    <w:rsid w:val="00AF6CE1"/>
    <w:rsid w:val="00B00E8A"/>
    <w:rsid w:val="00B03357"/>
    <w:rsid w:val="00B04CE3"/>
    <w:rsid w:val="00B0534C"/>
    <w:rsid w:val="00B07E66"/>
    <w:rsid w:val="00B13664"/>
    <w:rsid w:val="00B13CB0"/>
    <w:rsid w:val="00B13CE6"/>
    <w:rsid w:val="00B14C0B"/>
    <w:rsid w:val="00B25337"/>
    <w:rsid w:val="00B25D48"/>
    <w:rsid w:val="00B263A2"/>
    <w:rsid w:val="00B26EE8"/>
    <w:rsid w:val="00B30501"/>
    <w:rsid w:val="00B30630"/>
    <w:rsid w:val="00B33C01"/>
    <w:rsid w:val="00B35DD3"/>
    <w:rsid w:val="00B41AE3"/>
    <w:rsid w:val="00B463AA"/>
    <w:rsid w:val="00B51AF4"/>
    <w:rsid w:val="00B5593C"/>
    <w:rsid w:val="00B55A89"/>
    <w:rsid w:val="00B667A6"/>
    <w:rsid w:val="00B728D7"/>
    <w:rsid w:val="00B80A2C"/>
    <w:rsid w:val="00B810EC"/>
    <w:rsid w:val="00B82EC3"/>
    <w:rsid w:val="00B82F68"/>
    <w:rsid w:val="00B845AB"/>
    <w:rsid w:val="00B845E7"/>
    <w:rsid w:val="00B86124"/>
    <w:rsid w:val="00B869CF"/>
    <w:rsid w:val="00B8773B"/>
    <w:rsid w:val="00B878F3"/>
    <w:rsid w:val="00B87AF4"/>
    <w:rsid w:val="00B915AF"/>
    <w:rsid w:val="00B915F8"/>
    <w:rsid w:val="00B972EA"/>
    <w:rsid w:val="00BA0839"/>
    <w:rsid w:val="00BA2580"/>
    <w:rsid w:val="00BA33F6"/>
    <w:rsid w:val="00BA516C"/>
    <w:rsid w:val="00BA5A6A"/>
    <w:rsid w:val="00BA770F"/>
    <w:rsid w:val="00BB0E12"/>
    <w:rsid w:val="00BB0E5E"/>
    <w:rsid w:val="00BB392B"/>
    <w:rsid w:val="00BC0DEE"/>
    <w:rsid w:val="00BC342C"/>
    <w:rsid w:val="00BC39F8"/>
    <w:rsid w:val="00BD11E7"/>
    <w:rsid w:val="00BD12A0"/>
    <w:rsid w:val="00BD2E78"/>
    <w:rsid w:val="00BD2F57"/>
    <w:rsid w:val="00BD2FD7"/>
    <w:rsid w:val="00BD6AD5"/>
    <w:rsid w:val="00BD7E9B"/>
    <w:rsid w:val="00BE103B"/>
    <w:rsid w:val="00BE12BF"/>
    <w:rsid w:val="00BE3CB7"/>
    <w:rsid w:val="00BE7572"/>
    <w:rsid w:val="00BE7AA7"/>
    <w:rsid w:val="00BF07EB"/>
    <w:rsid w:val="00BF340D"/>
    <w:rsid w:val="00BF53BB"/>
    <w:rsid w:val="00C00A59"/>
    <w:rsid w:val="00C03CA4"/>
    <w:rsid w:val="00C0412C"/>
    <w:rsid w:val="00C06C19"/>
    <w:rsid w:val="00C0776C"/>
    <w:rsid w:val="00C1274B"/>
    <w:rsid w:val="00C13DA2"/>
    <w:rsid w:val="00C16711"/>
    <w:rsid w:val="00C20016"/>
    <w:rsid w:val="00C2102C"/>
    <w:rsid w:val="00C222F6"/>
    <w:rsid w:val="00C23D86"/>
    <w:rsid w:val="00C244FF"/>
    <w:rsid w:val="00C2690F"/>
    <w:rsid w:val="00C30BD0"/>
    <w:rsid w:val="00C3414C"/>
    <w:rsid w:val="00C34FD2"/>
    <w:rsid w:val="00C3571C"/>
    <w:rsid w:val="00C35CF3"/>
    <w:rsid w:val="00C35F88"/>
    <w:rsid w:val="00C362F1"/>
    <w:rsid w:val="00C37258"/>
    <w:rsid w:val="00C43DB6"/>
    <w:rsid w:val="00C44C0B"/>
    <w:rsid w:val="00C46787"/>
    <w:rsid w:val="00C51095"/>
    <w:rsid w:val="00C525A7"/>
    <w:rsid w:val="00C53571"/>
    <w:rsid w:val="00C55402"/>
    <w:rsid w:val="00C60CDB"/>
    <w:rsid w:val="00C649FB"/>
    <w:rsid w:val="00C65A23"/>
    <w:rsid w:val="00C66D9D"/>
    <w:rsid w:val="00C673BF"/>
    <w:rsid w:val="00C7027F"/>
    <w:rsid w:val="00C724BF"/>
    <w:rsid w:val="00C72F49"/>
    <w:rsid w:val="00C7460E"/>
    <w:rsid w:val="00C746F0"/>
    <w:rsid w:val="00C81BC1"/>
    <w:rsid w:val="00C841E5"/>
    <w:rsid w:val="00C85979"/>
    <w:rsid w:val="00C85E5D"/>
    <w:rsid w:val="00C929B8"/>
    <w:rsid w:val="00C956DB"/>
    <w:rsid w:val="00C96F47"/>
    <w:rsid w:val="00C9770D"/>
    <w:rsid w:val="00CA2499"/>
    <w:rsid w:val="00CA50BC"/>
    <w:rsid w:val="00CA52FB"/>
    <w:rsid w:val="00CA6A5D"/>
    <w:rsid w:val="00CB0716"/>
    <w:rsid w:val="00CB23D8"/>
    <w:rsid w:val="00CB635B"/>
    <w:rsid w:val="00CC2DC2"/>
    <w:rsid w:val="00CC7721"/>
    <w:rsid w:val="00CC7F56"/>
    <w:rsid w:val="00CD0E25"/>
    <w:rsid w:val="00CD1A2D"/>
    <w:rsid w:val="00CD2DA4"/>
    <w:rsid w:val="00CD53B9"/>
    <w:rsid w:val="00CE2387"/>
    <w:rsid w:val="00CE5C67"/>
    <w:rsid w:val="00CE6084"/>
    <w:rsid w:val="00CF0887"/>
    <w:rsid w:val="00CF1AA4"/>
    <w:rsid w:val="00CF2220"/>
    <w:rsid w:val="00CF4F12"/>
    <w:rsid w:val="00D00AF7"/>
    <w:rsid w:val="00D02896"/>
    <w:rsid w:val="00D10E6D"/>
    <w:rsid w:val="00D1138D"/>
    <w:rsid w:val="00D113B9"/>
    <w:rsid w:val="00D16084"/>
    <w:rsid w:val="00D16590"/>
    <w:rsid w:val="00D16E17"/>
    <w:rsid w:val="00D17468"/>
    <w:rsid w:val="00D20C4B"/>
    <w:rsid w:val="00D22717"/>
    <w:rsid w:val="00D34BCA"/>
    <w:rsid w:val="00D37A56"/>
    <w:rsid w:val="00D41FC7"/>
    <w:rsid w:val="00D4294D"/>
    <w:rsid w:val="00D42D6E"/>
    <w:rsid w:val="00D45C1C"/>
    <w:rsid w:val="00D47A1E"/>
    <w:rsid w:val="00D50D4A"/>
    <w:rsid w:val="00D50F79"/>
    <w:rsid w:val="00D515F3"/>
    <w:rsid w:val="00D52737"/>
    <w:rsid w:val="00D5688B"/>
    <w:rsid w:val="00D569FD"/>
    <w:rsid w:val="00D62730"/>
    <w:rsid w:val="00D6462E"/>
    <w:rsid w:val="00D64C4C"/>
    <w:rsid w:val="00D65F52"/>
    <w:rsid w:val="00D71C5E"/>
    <w:rsid w:val="00D72932"/>
    <w:rsid w:val="00D74520"/>
    <w:rsid w:val="00D75FED"/>
    <w:rsid w:val="00D801B6"/>
    <w:rsid w:val="00D82615"/>
    <w:rsid w:val="00D844C1"/>
    <w:rsid w:val="00D9007D"/>
    <w:rsid w:val="00D90D1B"/>
    <w:rsid w:val="00D93064"/>
    <w:rsid w:val="00D963EA"/>
    <w:rsid w:val="00D96C19"/>
    <w:rsid w:val="00D96F69"/>
    <w:rsid w:val="00D97BD3"/>
    <w:rsid w:val="00DA19D0"/>
    <w:rsid w:val="00DA301B"/>
    <w:rsid w:val="00DA7A51"/>
    <w:rsid w:val="00DB0326"/>
    <w:rsid w:val="00DB7578"/>
    <w:rsid w:val="00DC3101"/>
    <w:rsid w:val="00DC5A41"/>
    <w:rsid w:val="00DC7C94"/>
    <w:rsid w:val="00DD018C"/>
    <w:rsid w:val="00DD3A00"/>
    <w:rsid w:val="00DD3AF3"/>
    <w:rsid w:val="00DD3F41"/>
    <w:rsid w:val="00DD7601"/>
    <w:rsid w:val="00DE1154"/>
    <w:rsid w:val="00DE39D6"/>
    <w:rsid w:val="00DE4E53"/>
    <w:rsid w:val="00DE73CC"/>
    <w:rsid w:val="00DE7631"/>
    <w:rsid w:val="00DF0521"/>
    <w:rsid w:val="00DF07A2"/>
    <w:rsid w:val="00DF3B6D"/>
    <w:rsid w:val="00DF4FA0"/>
    <w:rsid w:val="00E00FA3"/>
    <w:rsid w:val="00E05994"/>
    <w:rsid w:val="00E116E7"/>
    <w:rsid w:val="00E13E71"/>
    <w:rsid w:val="00E16459"/>
    <w:rsid w:val="00E16721"/>
    <w:rsid w:val="00E16F16"/>
    <w:rsid w:val="00E20722"/>
    <w:rsid w:val="00E21D43"/>
    <w:rsid w:val="00E2364B"/>
    <w:rsid w:val="00E24CB9"/>
    <w:rsid w:val="00E260D1"/>
    <w:rsid w:val="00E2756C"/>
    <w:rsid w:val="00E2777E"/>
    <w:rsid w:val="00E30BD2"/>
    <w:rsid w:val="00E3384F"/>
    <w:rsid w:val="00E43817"/>
    <w:rsid w:val="00E51203"/>
    <w:rsid w:val="00E53017"/>
    <w:rsid w:val="00E53DDE"/>
    <w:rsid w:val="00E5450D"/>
    <w:rsid w:val="00E5473C"/>
    <w:rsid w:val="00E55020"/>
    <w:rsid w:val="00E567D2"/>
    <w:rsid w:val="00E57291"/>
    <w:rsid w:val="00E5754C"/>
    <w:rsid w:val="00E62496"/>
    <w:rsid w:val="00E65775"/>
    <w:rsid w:val="00E66912"/>
    <w:rsid w:val="00E66F3C"/>
    <w:rsid w:val="00E71B68"/>
    <w:rsid w:val="00E7333B"/>
    <w:rsid w:val="00E74823"/>
    <w:rsid w:val="00E80ABB"/>
    <w:rsid w:val="00E82A8D"/>
    <w:rsid w:val="00E93830"/>
    <w:rsid w:val="00E96ADE"/>
    <w:rsid w:val="00E97D34"/>
    <w:rsid w:val="00EA2470"/>
    <w:rsid w:val="00EA518F"/>
    <w:rsid w:val="00EB15AC"/>
    <w:rsid w:val="00EB16F4"/>
    <w:rsid w:val="00EB47A1"/>
    <w:rsid w:val="00EB5722"/>
    <w:rsid w:val="00EB6A61"/>
    <w:rsid w:val="00EB74D2"/>
    <w:rsid w:val="00EB7BA8"/>
    <w:rsid w:val="00EC11AC"/>
    <w:rsid w:val="00EC1FB2"/>
    <w:rsid w:val="00EC3CAB"/>
    <w:rsid w:val="00EC440D"/>
    <w:rsid w:val="00EC4F24"/>
    <w:rsid w:val="00EC6E4F"/>
    <w:rsid w:val="00ED01B3"/>
    <w:rsid w:val="00ED0BC3"/>
    <w:rsid w:val="00ED0C7D"/>
    <w:rsid w:val="00ED0E60"/>
    <w:rsid w:val="00ED7C61"/>
    <w:rsid w:val="00EE0450"/>
    <w:rsid w:val="00EE1C2E"/>
    <w:rsid w:val="00EE6A98"/>
    <w:rsid w:val="00EF09CA"/>
    <w:rsid w:val="00EF0C42"/>
    <w:rsid w:val="00EF225A"/>
    <w:rsid w:val="00EF4FAA"/>
    <w:rsid w:val="00F001E4"/>
    <w:rsid w:val="00F01225"/>
    <w:rsid w:val="00F01E48"/>
    <w:rsid w:val="00F04F39"/>
    <w:rsid w:val="00F12FC9"/>
    <w:rsid w:val="00F138DA"/>
    <w:rsid w:val="00F1538C"/>
    <w:rsid w:val="00F16A05"/>
    <w:rsid w:val="00F200A9"/>
    <w:rsid w:val="00F24BDA"/>
    <w:rsid w:val="00F266CF"/>
    <w:rsid w:val="00F27C99"/>
    <w:rsid w:val="00F30A70"/>
    <w:rsid w:val="00F32DAF"/>
    <w:rsid w:val="00F350F9"/>
    <w:rsid w:val="00F402A4"/>
    <w:rsid w:val="00F41EF8"/>
    <w:rsid w:val="00F43D09"/>
    <w:rsid w:val="00F44912"/>
    <w:rsid w:val="00F46581"/>
    <w:rsid w:val="00F47C77"/>
    <w:rsid w:val="00F47FE9"/>
    <w:rsid w:val="00F501A3"/>
    <w:rsid w:val="00F502D4"/>
    <w:rsid w:val="00F547CC"/>
    <w:rsid w:val="00F57205"/>
    <w:rsid w:val="00F60267"/>
    <w:rsid w:val="00F60D38"/>
    <w:rsid w:val="00F660FF"/>
    <w:rsid w:val="00F6729A"/>
    <w:rsid w:val="00F72DEC"/>
    <w:rsid w:val="00F73FA1"/>
    <w:rsid w:val="00F74618"/>
    <w:rsid w:val="00F824D9"/>
    <w:rsid w:val="00F83ECE"/>
    <w:rsid w:val="00F853D0"/>
    <w:rsid w:val="00F8771A"/>
    <w:rsid w:val="00F87A8A"/>
    <w:rsid w:val="00F94424"/>
    <w:rsid w:val="00F94789"/>
    <w:rsid w:val="00FA26E7"/>
    <w:rsid w:val="00FA4B9A"/>
    <w:rsid w:val="00FA4EE0"/>
    <w:rsid w:val="00FA52B2"/>
    <w:rsid w:val="00FA67D5"/>
    <w:rsid w:val="00FA7C96"/>
    <w:rsid w:val="00FB14B1"/>
    <w:rsid w:val="00FB6848"/>
    <w:rsid w:val="00FB7063"/>
    <w:rsid w:val="00FC0E3C"/>
    <w:rsid w:val="00FC1728"/>
    <w:rsid w:val="00FC2CA8"/>
    <w:rsid w:val="00FC3522"/>
    <w:rsid w:val="00FC3E9C"/>
    <w:rsid w:val="00FC5B64"/>
    <w:rsid w:val="00FC6A6B"/>
    <w:rsid w:val="00FC6CC0"/>
    <w:rsid w:val="00FD04BD"/>
    <w:rsid w:val="00FD1228"/>
    <w:rsid w:val="00FD1409"/>
    <w:rsid w:val="00FD1E3A"/>
    <w:rsid w:val="00FD4A7E"/>
    <w:rsid w:val="00FD5BBC"/>
    <w:rsid w:val="00FD7023"/>
    <w:rsid w:val="00FD7BEF"/>
    <w:rsid w:val="00FE12B4"/>
    <w:rsid w:val="00FE183A"/>
    <w:rsid w:val="00FE20DD"/>
    <w:rsid w:val="00FE500D"/>
    <w:rsid w:val="00FE65E9"/>
    <w:rsid w:val="00FF0ACE"/>
    <w:rsid w:val="00FF0CDD"/>
    <w:rsid w:val="00FF1B65"/>
    <w:rsid w:val="00FF1C1C"/>
    <w:rsid w:val="00FF2731"/>
    <w:rsid w:val="00FF2812"/>
    <w:rsid w:val="00FF3ED1"/>
    <w:rsid w:val="00FF4505"/>
    <w:rsid w:val="00FF55B1"/>
    <w:rsid w:val="00FF6803"/>
    <w:rsid w:val="1D575F04"/>
    <w:rsid w:val="28D63BA5"/>
    <w:rsid w:val="6DA92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kern w:val="0"/>
      <w:sz w:val="24"/>
      <w:szCs w:val="24"/>
      <w:lang w:val="en-US" w:eastAsia="zh-CN" w:bidi="ar-SA"/>
    </w:rPr>
  </w:style>
  <w:style w:type="paragraph" w:styleId="2">
    <w:name w:val="heading 1"/>
    <w:basedOn w:val="1"/>
    <w:next w:val="1"/>
    <w:link w:val="29"/>
    <w:qFormat/>
    <w:uiPriority w:val="0"/>
    <w:pPr>
      <w:keepNext/>
      <w:keepLines/>
      <w:spacing w:before="340" w:after="330" w:line="578" w:lineRule="auto"/>
      <w:jc w:val="center"/>
      <w:outlineLvl w:val="0"/>
    </w:pPr>
    <w:rPr>
      <w:rFonts w:eastAsia="方正小标宋简体"/>
      <w:b/>
      <w:bCs/>
      <w:kern w:val="44"/>
      <w:sz w:val="32"/>
      <w:szCs w:val="44"/>
    </w:rPr>
  </w:style>
  <w:style w:type="paragraph" w:styleId="3">
    <w:name w:val="heading 2"/>
    <w:basedOn w:val="1"/>
    <w:next w:val="1"/>
    <w:link w:val="30"/>
    <w:unhideWhenUsed/>
    <w:qFormat/>
    <w:uiPriority w:val="0"/>
    <w:pPr>
      <w:keepNext/>
      <w:keepLines/>
      <w:spacing w:before="260" w:after="260" w:line="416" w:lineRule="auto"/>
      <w:outlineLvl w:val="1"/>
    </w:pPr>
    <w:rPr>
      <w:rFonts w:asciiTheme="majorHAnsi" w:hAnsiTheme="majorHAnsi" w:eastAsiaTheme="majorEastAsia" w:cstheme="majorBidi"/>
      <w:b/>
      <w:bCs/>
      <w:color w:val="000000"/>
      <w:sz w:val="32"/>
      <w:szCs w:val="32"/>
      <w:lang w:eastAsia="en-US" w:bidi="en-US"/>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unhideWhenUsed/>
    <w:qFormat/>
    <w:uiPriority w:val="39"/>
    <w:pPr>
      <w:ind w:left="1440"/>
    </w:pPr>
  </w:style>
  <w:style w:type="paragraph" w:styleId="5">
    <w:name w:val="Normal Indent"/>
    <w:basedOn w:val="1"/>
    <w:unhideWhenUsed/>
    <w:qFormat/>
    <w:uiPriority w:val="0"/>
    <w:pPr>
      <w:ind w:firstLine="420" w:firstLineChars="200"/>
    </w:pPr>
    <w:rPr>
      <w:sz w:val="21"/>
    </w:rPr>
  </w:style>
  <w:style w:type="paragraph" w:styleId="6">
    <w:name w:val="Document Map"/>
    <w:basedOn w:val="1"/>
    <w:link w:val="39"/>
    <w:semiHidden/>
    <w:unhideWhenUsed/>
    <w:qFormat/>
    <w:uiPriority w:val="99"/>
    <w:rPr>
      <w:rFonts w:ascii="宋体" w:eastAsia="宋体"/>
    </w:rPr>
  </w:style>
  <w:style w:type="paragraph" w:styleId="7">
    <w:name w:val="Body Text"/>
    <w:basedOn w:val="1"/>
    <w:next w:val="1"/>
    <w:link w:val="32"/>
    <w:qFormat/>
    <w:uiPriority w:val="0"/>
    <w:pPr>
      <w:spacing w:after="120"/>
    </w:pPr>
    <w:rPr>
      <w:sz w:val="21"/>
    </w:rPr>
  </w:style>
  <w:style w:type="paragraph" w:styleId="8">
    <w:name w:val="Body Text Indent"/>
    <w:basedOn w:val="1"/>
    <w:link w:val="34"/>
    <w:semiHidden/>
    <w:unhideWhenUsed/>
    <w:qFormat/>
    <w:uiPriority w:val="99"/>
    <w:pPr>
      <w:spacing w:after="120"/>
      <w:ind w:left="420" w:leftChars="200"/>
    </w:pPr>
  </w:style>
  <w:style w:type="paragraph" w:styleId="9">
    <w:name w:val="toc 5"/>
    <w:basedOn w:val="1"/>
    <w:next w:val="1"/>
    <w:unhideWhenUsed/>
    <w:qFormat/>
    <w:uiPriority w:val="39"/>
    <w:pPr>
      <w:ind w:left="960"/>
    </w:pPr>
  </w:style>
  <w:style w:type="paragraph" w:styleId="10">
    <w:name w:val="toc 3"/>
    <w:basedOn w:val="1"/>
    <w:next w:val="1"/>
    <w:unhideWhenUsed/>
    <w:qFormat/>
    <w:uiPriority w:val="39"/>
    <w:pPr>
      <w:ind w:left="480"/>
    </w:pPr>
  </w:style>
  <w:style w:type="paragraph" w:styleId="11">
    <w:name w:val="Plain Text"/>
    <w:basedOn w:val="1"/>
    <w:link w:val="33"/>
    <w:qFormat/>
    <w:uiPriority w:val="0"/>
    <w:rPr>
      <w:rFonts w:ascii="宋体" w:hAnsi="Courier New"/>
      <w:sz w:val="21"/>
      <w:szCs w:val="21"/>
    </w:rPr>
  </w:style>
  <w:style w:type="paragraph" w:styleId="12">
    <w:name w:val="toc 8"/>
    <w:basedOn w:val="1"/>
    <w:next w:val="1"/>
    <w:unhideWhenUsed/>
    <w:qFormat/>
    <w:uiPriority w:val="39"/>
    <w:pPr>
      <w:ind w:left="1680"/>
    </w:pPr>
  </w:style>
  <w:style w:type="paragraph" w:styleId="13">
    <w:name w:val="footer"/>
    <w:basedOn w:val="1"/>
    <w:link w:val="28"/>
    <w:unhideWhenUsed/>
    <w:qFormat/>
    <w:uiPriority w:val="99"/>
    <w:pPr>
      <w:tabs>
        <w:tab w:val="center" w:pos="4153"/>
        <w:tab w:val="right" w:pos="8306"/>
      </w:tabs>
      <w:snapToGrid w:val="0"/>
    </w:pPr>
    <w:rPr>
      <w:sz w:val="18"/>
      <w:szCs w:val="18"/>
    </w:rPr>
  </w:style>
  <w:style w:type="paragraph" w:styleId="14">
    <w:name w:val="header"/>
    <w:basedOn w:val="1"/>
    <w:link w:val="37"/>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rPr>
      <w:sz w:val="21"/>
      <w:szCs w:val="22"/>
    </w:rPr>
  </w:style>
  <w:style w:type="paragraph" w:styleId="16">
    <w:name w:val="toc 4"/>
    <w:basedOn w:val="1"/>
    <w:next w:val="1"/>
    <w:unhideWhenUsed/>
    <w:qFormat/>
    <w:uiPriority w:val="39"/>
    <w:pPr>
      <w:ind w:left="720"/>
    </w:pPr>
  </w:style>
  <w:style w:type="paragraph" w:styleId="17">
    <w:name w:val="toc 6"/>
    <w:basedOn w:val="1"/>
    <w:next w:val="1"/>
    <w:unhideWhenUsed/>
    <w:qFormat/>
    <w:uiPriority w:val="39"/>
    <w:pPr>
      <w:ind w:left="1200"/>
    </w:pPr>
  </w:style>
  <w:style w:type="paragraph" w:styleId="18">
    <w:name w:val="Body Text Indent 3"/>
    <w:basedOn w:val="1"/>
    <w:link w:val="31"/>
    <w:qFormat/>
    <w:uiPriority w:val="0"/>
    <w:pPr>
      <w:spacing w:line="360" w:lineRule="auto"/>
      <w:ind w:firstLine="200" w:firstLineChars="200"/>
    </w:pPr>
    <w:rPr>
      <w:sz w:val="20"/>
      <w:szCs w:val="20"/>
    </w:rPr>
  </w:style>
  <w:style w:type="paragraph" w:styleId="19">
    <w:name w:val="toc 2"/>
    <w:basedOn w:val="1"/>
    <w:next w:val="1"/>
    <w:unhideWhenUsed/>
    <w:qFormat/>
    <w:uiPriority w:val="39"/>
    <w:pPr>
      <w:ind w:left="420" w:leftChars="200"/>
    </w:pPr>
    <w:rPr>
      <w:sz w:val="21"/>
      <w:szCs w:val="22"/>
    </w:rPr>
  </w:style>
  <w:style w:type="paragraph" w:styleId="20">
    <w:name w:val="toc 9"/>
    <w:basedOn w:val="1"/>
    <w:next w:val="1"/>
    <w:unhideWhenUsed/>
    <w:qFormat/>
    <w:uiPriority w:val="39"/>
    <w:pPr>
      <w:ind w:left="1920"/>
    </w:pPr>
  </w:style>
  <w:style w:type="paragraph" w:styleId="21">
    <w:name w:val="Normal (Web)"/>
    <w:basedOn w:val="1"/>
    <w:unhideWhenUsed/>
    <w:qFormat/>
    <w:uiPriority w:val="99"/>
    <w:pPr>
      <w:spacing w:before="100" w:beforeAutospacing="1" w:after="100" w:afterAutospacing="1"/>
    </w:pPr>
    <w:rPr>
      <w:rFonts w:ascii="宋体" w:hAnsi="宋体" w:eastAsia="宋体" w:cs="宋体"/>
    </w:rPr>
  </w:style>
  <w:style w:type="paragraph" w:styleId="22">
    <w:name w:val="Body Text First Indent 2"/>
    <w:basedOn w:val="8"/>
    <w:link w:val="35"/>
    <w:qFormat/>
    <w:uiPriority w:val="0"/>
    <w:pPr>
      <w:ind w:firstLine="420" w:firstLineChars="200"/>
    </w:pPr>
    <w:rPr>
      <w:sz w:val="21"/>
    </w:rPr>
  </w:style>
  <w:style w:type="table" w:styleId="24">
    <w:name w:val="Table Grid"/>
    <w:basedOn w:val="23"/>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page number"/>
    <w:basedOn w:val="25"/>
    <w:semiHidden/>
    <w:unhideWhenUsed/>
    <w:qFormat/>
    <w:uiPriority w:val="99"/>
  </w:style>
  <w:style w:type="character" w:styleId="27">
    <w:name w:val="Hyperlink"/>
    <w:basedOn w:val="25"/>
    <w:unhideWhenUsed/>
    <w:qFormat/>
    <w:uiPriority w:val="99"/>
    <w:rPr>
      <w:color w:val="0563C1" w:themeColor="hyperlink"/>
      <w:u w:val="single"/>
      <w14:textFill>
        <w14:solidFill>
          <w14:schemeClr w14:val="hlink"/>
        </w14:solidFill>
      </w14:textFill>
    </w:rPr>
  </w:style>
  <w:style w:type="character" w:customStyle="1" w:styleId="28">
    <w:name w:val="页脚字符"/>
    <w:basedOn w:val="25"/>
    <w:link w:val="13"/>
    <w:qFormat/>
    <w:uiPriority w:val="99"/>
    <w:rPr>
      <w:sz w:val="18"/>
      <w:szCs w:val="18"/>
    </w:rPr>
  </w:style>
  <w:style w:type="character" w:customStyle="1" w:styleId="29">
    <w:name w:val="标题 1字符"/>
    <w:basedOn w:val="25"/>
    <w:link w:val="2"/>
    <w:qFormat/>
    <w:uiPriority w:val="9"/>
    <w:rPr>
      <w:rFonts w:eastAsia="方正小标宋简体"/>
      <w:b/>
      <w:bCs/>
      <w:kern w:val="44"/>
      <w:sz w:val="32"/>
      <w:szCs w:val="44"/>
    </w:rPr>
  </w:style>
  <w:style w:type="character" w:customStyle="1" w:styleId="30">
    <w:name w:val="标题 2字符"/>
    <w:basedOn w:val="25"/>
    <w:link w:val="3"/>
    <w:qFormat/>
    <w:uiPriority w:val="0"/>
    <w:rPr>
      <w:rFonts w:asciiTheme="majorHAnsi" w:hAnsiTheme="majorHAnsi" w:eastAsiaTheme="majorEastAsia" w:cstheme="majorBidi"/>
      <w:b/>
      <w:bCs/>
      <w:color w:val="000000"/>
      <w:kern w:val="0"/>
      <w:sz w:val="32"/>
      <w:szCs w:val="32"/>
      <w:lang w:eastAsia="en-US" w:bidi="en-US"/>
    </w:rPr>
  </w:style>
  <w:style w:type="character" w:customStyle="1" w:styleId="31">
    <w:name w:val="正文文本缩进 3字符"/>
    <w:basedOn w:val="25"/>
    <w:link w:val="18"/>
    <w:qFormat/>
    <w:uiPriority w:val="0"/>
    <w:rPr>
      <w:rFonts w:ascii="Times New Roman" w:hAnsi="Times New Roman" w:cs="Times New Roman"/>
      <w:kern w:val="0"/>
      <w:sz w:val="20"/>
      <w:szCs w:val="20"/>
    </w:rPr>
  </w:style>
  <w:style w:type="character" w:customStyle="1" w:styleId="32">
    <w:name w:val="正文文本字符"/>
    <w:basedOn w:val="25"/>
    <w:link w:val="7"/>
    <w:qFormat/>
    <w:uiPriority w:val="0"/>
    <w:rPr>
      <w:sz w:val="21"/>
    </w:rPr>
  </w:style>
  <w:style w:type="character" w:customStyle="1" w:styleId="33">
    <w:name w:val="纯文本字符"/>
    <w:basedOn w:val="25"/>
    <w:link w:val="11"/>
    <w:qFormat/>
    <w:uiPriority w:val="0"/>
    <w:rPr>
      <w:rFonts w:ascii="宋体" w:hAnsi="Courier New"/>
      <w:sz w:val="21"/>
      <w:szCs w:val="21"/>
    </w:rPr>
  </w:style>
  <w:style w:type="character" w:customStyle="1" w:styleId="34">
    <w:name w:val="正文文本缩进字符"/>
    <w:basedOn w:val="25"/>
    <w:link w:val="8"/>
    <w:semiHidden/>
    <w:qFormat/>
    <w:uiPriority w:val="99"/>
  </w:style>
  <w:style w:type="character" w:customStyle="1" w:styleId="35">
    <w:name w:val="正文首行缩进 2字符"/>
    <w:basedOn w:val="34"/>
    <w:link w:val="22"/>
    <w:qFormat/>
    <w:uiPriority w:val="0"/>
    <w:rPr>
      <w:sz w:val="21"/>
    </w:rPr>
  </w:style>
  <w:style w:type="paragraph" w:customStyle="1" w:styleId="36">
    <w:name w:val="列出段落1"/>
    <w:basedOn w:val="1"/>
    <w:qFormat/>
    <w:uiPriority w:val="34"/>
    <w:pPr>
      <w:ind w:firstLine="420" w:firstLineChars="200"/>
    </w:pPr>
    <w:rPr>
      <w:rFonts w:ascii="Calibri" w:hAnsi="Calibri" w:eastAsia="宋体"/>
      <w:sz w:val="21"/>
      <w:szCs w:val="22"/>
    </w:rPr>
  </w:style>
  <w:style w:type="character" w:customStyle="1" w:styleId="37">
    <w:name w:val="页眉字符"/>
    <w:basedOn w:val="25"/>
    <w:link w:val="14"/>
    <w:qFormat/>
    <w:uiPriority w:val="99"/>
    <w:rPr>
      <w:sz w:val="18"/>
      <w:szCs w:val="18"/>
    </w:rPr>
  </w:style>
  <w:style w:type="paragraph" w:customStyle="1" w:styleId="38">
    <w:name w:val="Table Paragraph"/>
    <w:basedOn w:val="1"/>
    <w:qFormat/>
    <w:uiPriority w:val="1"/>
    <w:pPr>
      <w:autoSpaceDE w:val="0"/>
      <w:autoSpaceDN w:val="0"/>
    </w:pPr>
    <w:rPr>
      <w:rFonts w:ascii="宋体" w:hAnsi="宋体" w:eastAsia="宋体" w:cs="宋体"/>
      <w:sz w:val="22"/>
      <w:szCs w:val="22"/>
      <w:lang w:val="zh-CN" w:bidi="zh-CN"/>
    </w:rPr>
  </w:style>
  <w:style w:type="character" w:customStyle="1" w:styleId="39">
    <w:name w:val="文档结构图字符"/>
    <w:basedOn w:val="25"/>
    <w:link w:val="6"/>
    <w:semiHidden/>
    <w:qFormat/>
    <w:uiPriority w:val="99"/>
    <w:rPr>
      <w:rFonts w:ascii="宋体" w:eastAsia="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2B7322-B48B-6548-937D-7D000D5DED81}">
  <ds:schemaRefs/>
</ds:datastoreItem>
</file>

<file path=docProps/app.xml><?xml version="1.0" encoding="utf-8"?>
<Properties xmlns="http://schemas.openxmlformats.org/officeDocument/2006/extended-properties" xmlns:vt="http://schemas.openxmlformats.org/officeDocument/2006/docPropsVTypes">
  <Template>Normal.dotm</Template>
  <Pages>30</Pages>
  <Words>3061</Words>
  <Characters>17452</Characters>
  <Lines>145</Lines>
  <Paragraphs>40</Paragraphs>
  <TotalTime>841</TotalTime>
  <ScaleCrop>false</ScaleCrop>
  <LinksUpToDate>false</LinksUpToDate>
  <CharactersWithSpaces>20473</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2021-10-16T03:22:00Z</dcterms:created>
  <dc:creator>Microsoft Office 用户</dc:creator>
  <cp:lastModifiedBy>应急管理局文书</cp:lastModifiedBy>
  <dcterms:modified xsi:type="dcterms:W3CDTF">2021-12-09T08:40:29Z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