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560" w:lineRule="atLeast"/>
        <w:ind w:left="0" w:leftChars="0" w:firstLine="0" w:firstLineChars="0"/>
        <w:jc w:val="left"/>
        <w:textAlignment w:val="auto"/>
        <w:rPr>
          <w:rFonts w:hint="eastAsia" w:ascii="黑体" w:hAnsi="黑体" w:eastAsia="黑体" w:cs="黑体"/>
          <w:b/>
          <w:bCs/>
          <w:lang w:val="en-US" w:eastAsia="zh-CN"/>
        </w:rPr>
      </w:pPr>
      <w:r>
        <w:rPr>
          <w:rFonts w:hint="eastAsia" w:ascii="黑体" w:hAnsi="黑体" w:eastAsia="黑体" w:cs="黑体"/>
          <w:b/>
          <w:bCs/>
          <w:lang w:val="en-US" w:eastAsia="zh-CN"/>
        </w:rPr>
        <w:t>附件5</w:t>
      </w:r>
      <w:bookmarkStart w:id="0" w:name="_GoBack"/>
      <w:bookmarkEnd w:id="0"/>
      <w:r>
        <w:rPr>
          <w:rFonts w:hint="eastAsia" w:ascii="黑体" w:hAnsi="黑体" w:eastAsia="黑体" w:cs="黑体"/>
          <w:b/>
          <w:bCs/>
          <w:lang w:val="en-US" w:eastAsia="zh-CN"/>
        </w:rPr>
        <w:t>：</w:t>
      </w:r>
    </w:p>
    <w:p>
      <w:pPr>
        <w:rPr>
          <w:rFonts w:hint="default"/>
          <w:lang w:val="en-US" w:eastAsia="zh-CN"/>
        </w:rPr>
      </w:pPr>
    </w:p>
    <w:p>
      <w:pPr>
        <w:jc w:val="center"/>
        <w:rPr>
          <w:rFonts w:hint="default" w:ascii="方正大标宋简体" w:eastAsia="方正大标宋简体"/>
          <w:sz w:val="36"/>
          <w:szCs w:val="36"/>
          <w:lang w:val="en-US" w:eastAsia="zh-CN"/>
        </w:rPr>
      </w:pPr>
      <w:r>
        <w:rPr>
          <w:rFonts w:hint="eastAsia" w:ascii="方正大标宋简体" w:eastAsia="方正大标宋简体"/>
          <w:sz w:val="36"/>
          <w:szCs w:val="36"/>
          <w:lang w:val="en-US" w:eastAsia="zh-CN"/>
        </w:rPr>
        <w:t>相关法律法规摘录</w:t>
      </w:r>
    </w:p>
    <w:p>
      <w:pPr>
        <w:pStyle w:val="2"/>
        <w:keepNext w:val="0"/>
        <w:keepLines w:val="0"/>
        <w:pageBreakBefore w:val="0"/>
        <w:widowControl w:val="0"/>
        <w:kinsoku/>
        <w:wordWrap/>
        <w:overflowPunct/>
        <w:topLinePunct w:val="0"/>
        <w:autoSpaceDE/>
        <w:autoSpaceDN/>
        <w:bidi w:val="0"/>
        <w:adjustRightInd/>
        <w:snapToGrid/>
        <w:spacing w:line="560" w:lineRule="atLeast"/>
        <w:ind w:firstLine="643" w:firstLineChars="200"/>
        <w:textAlignment w:val="auto"/>
        <w:rPr>
          <w:rFonts w:hint="eastAsia" w:ascii="黑体" w:hAnsi="黑体" w:eastAsia="黑体" w:cs="黑体"/>
          <w:b/>
          <w:bCs/>
          <w:lang w:val="en-US" w:eastAsia="zh-CN"/>
        </w:rPr>
      </w:pPr>
      <w:r>
        <w:rPr>
          <w:rFonts w:hint="eastAsia" w:ascii="黑体" w:hAnsi="黑体" w:eastAsia="黑体" w:cs="黑体"/>
          <w:b/>
          <w:bCs/>
          <w:lang w:val="en-US" w:eastAsia="zh-CN"/>
        </w:rPr>
        <w:t>一、划定依据</w:t>
      </w:r>
    </w:p>
    <w:p>
      <w:pPr>
        <w:pStyle w:val="2"/>
        <w:keepNext w:val="0"/>
        <w:keepLines w:val="0"/>
        <w:pageBreakBefore w:val="0"/>
        <w:widowControl w:val="0"/>
        <w:kinsoku/>
        <w:wordWrap/>
        <w:overflowPunct/>
        <w:topLinePunct w:val="0"/>
        <w:autoSpaceDE/>
        <w:autoSpaceDN/>
        <w:bidi w:val="0"/>
        <w:adjustRightInd/>
        <w:snapToGrid/>
        <w:spacing w:line="560" w:lineRule="atLeast"/>
        <w:ind w:firstLine="643" w:firstLineChars="200"/>
        <w:textAlignment w:val="auto"/>
        <w:rPr>
          <w:rFonts w:hint="eastAsia" w:hAnsi="宋体" w:cs="Times New Roman"/>
          <w:b/>
          <w:bCs/>
          <w:lang w:val="en-US" w:eastAsia="zh-CN"/>
        </w:rPr>
      </w:pPr>
      <w:r>
        <w:rPr>
          <w:rFonts w:hint="eastAsia" w:hAnsi="宋体" w:cs="Times New Roman"/>
          <w:b/>
          <w:bCs/>
          <w:lang w:val="en-US" w:eastAsia="zh-CN"/>
        </w:rPr>
        <w:t>1.《中华人民共和国文物保护法》</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第十五条各级文物保护单位，分别由省、自治区、直辖市人民政府和市、县级人民政府划定必要的保护范围，作出标志说明，建立记录档案，并区别情况分别设置专门机构或者专人负责管理。</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第十八条根据保护文物的实际需要，经省、自治区、直辖市人民政府批准，可以在文物保护单位的周围划出一定的建设控制地带，并予以公布。</w:t>
      </w:r>
    </w:p>
    <w:p>
      <w:pPr>
        <w:pStyle w:val="2"/>
        <w:keepNext w:val="0"/>
        <w:keepLines w:val="0"/>
        <w:pageBreakBefore w:val="0"/>
        <w:widowControl w:val="0"/>
        <w:kinsoku/>
        <w:wordWrap/>
        <w:overflowPunct/>
        <w:topLinePunct w:val="0"/>
        <w:autoSpaceDE/>
        <w:autoSpaceDN/>
        <w:bidi w:val="0"/>
        <w:adjustRightInd/>
        <w:snapToGrid/>
        <w:spacing w:line="560" w:lineRule="atLeast"/>
        <w:ind w:firstLine="643" w:firstLineChars="200"/>
        <w:textAlignment w:val="auto"/>
        <w:rPr>
          <w:rFonts w:hint="eastAsia" w:hAnsi="宋体" w:cs="Times New Roman"/>
          <w:b/>
          <w:bCs/>
          <w:lang w:val="en-US" w:eastAsia="zh-CN"/>
        </w:rPr>
      </w:pPr>
      <w:r>
        <w:rPr>
          <w:rFonts w:hint="eastAsia" w:hAnsi="宋体" w:cs="Times New Roman"/>
          <w:b/>
          <w:bCs/>
          <w:lang w:val="en-US" w:eastAsia="zh-CN"/>
        </w:rPr>
        <w:t>2.《中华人民共和国文物保护法实施条例》</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第九条文物保护单位的保护范围，是指对文物保护单位本体及周围一定范围实施重点保护的区域。文物保护单位的保护范围，应当根据文物保护单位的类别、规模、内容以及周围环境的历史和现实情况合理划定，并在文物保护单位本体之外保持一定的安全距离，确保文物保护单位的真实性和完整性。</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第十三条文物保护单位的建设控制地带，是指在文物保护单位的保护范围外，为保护文物保护单位的安全、环境、历史风貌对建设项目加以限制的区域。文物保护单位的建设控制地带，应当根据文物保护单位的类别、规模、内容以及周围环境的历史和现实情况合理划定。</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第十四条省级、设区的市、自治州级和县级文物保护单位的建设控制地带，经省、自治区、直辖市人民政府批准，由核定公布该文物保护单位的人民政府的文物行政主管部门会同城乡规划行政主管部门划定并公布。</w:t>
      </w:r>
    </w:p>
    <w:p>
      <w:pPr>
        <w:pStyle w:val="2"/>
        <w:keepNext w:val="0"/>
        <w:keepLines w:val="0"/>
        <w:pageBreakBefore w:val="0"/>
        <w:widowControl w:val="0"/>
        <w:kinsoku/>
        <w:wordWrap/>
        <w:overflowPunct/>
        <w:topLinePunct w:val="0"/>
        <w:autoSpaceDE/>
        <w:autoSpaceDN/>
        <w:bidi w:val="0"/>
        <w:adjustRightInd/>
        <w:snapToGrid/>
        <w:spacing w:line="560" w:lineRule="atLeast"/>
        <w:ind w:firstLine="643" w:firstLineChars="200"/>
        <w:textAlignment w:val="auto"/>
        <w:rPr>
          <w:rFonts w:hint="eastAsia" w:hAnsi="宋体" w:cs="Times New Roman"/>
          <w:b/>
          <w:bCs/>
          <w:lang w:val="en-US" w:eastAsia="zh-CN"/>
        </w:rPr>
      </w:pPr>
      <w:r>
        <w:rPr>
          <w:rFonts w:hint="eastAsia" w:hAnsi="宋体" w:cs="Times New Roman"/>
          <w:b/>
          <w:bCs/>
          <w:lang w:val="en-US" w:eastAsia="zh-CN"/>
        </w:rPr>
        <w:t>3.《浙江省文物保护管理条例》</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第二十二条县级以上人民政府应当自核定公布文物保护单位之日起一年内划定其保护范围；根据文物保护需要，可以在文物保护单位的周围划定建设控制地带。文物保护单位保护范围和建设控制地带的划定，必须确保文物本体安全和历史风貌的完整，划定前应当征求文物保护单位有关主管部门及相邻利害关系人的意见。文物保护单位保护范围和建设控制地带划定的具体办法，由省文物行政部门会同省规划行政部门制定，报省人民政府批准后实施。</w:t>
      </w:r>
    </w:p>
    <w:p>
      <w:pPr>
        <w:pStyle w:val="2"/>
        <w:keepNext w:val="0"/>
        <w:keepLines w:val="0"/>
        <w:pageBreakBefore w:val="0"/>
        <w:widowControl w:val="0"/>
        <w:kinsoku/>
        <w:wordWrap/>
        <w:overflowPunct/>
        <w:topLinePunct w:val="0"/>
        <w:autoSpaceDE/>
        <w:autoSpaceDN/>
        <w:bidi w:val="0"/>
        <w:adjustRightInd/>
        <w:snapToGrid/>
        <w:spacing w:line="560" w:lineRule="atLeast"/>
        <w:ind w:firstLine="643" w:firstLineChars="200"/>
        <w:textAlignment w:val="auto"/>
        <w:rPr>
          <w:rFonts w:hint="default" w:ascii="黑体" w:hAnsi="黑体" w:eastAsia="黑体" w:cs="黑体"/>
          <w:b/>
          <w:bCs/>
          <w:lang w:val="en-US" w:eastAsia="zh-CN"/>
        </w:rPr>
      </w:pPr>
      <w:r>
        <w:rPr>
          <w:rFonts w:hint="eastAsia" w:ascii="黑体" w:hAnsi="黑体" w:eastAsia="黑体" w:cs="黑体"/>
          <w:b/>
          <w:bCs/>
          <w:lang w:val="en-US" w:eastAsia="zh-CN"/>
        </w:rPr>
        <w:t>二、管控要求及法律责任</w:t>
      </w:r>
    </w:p>
    <w:p>
      <w:pPr>
        <w:pStyle w:val="2"/>
        <w:keepNext w:val="0"/>
        <w:keepLines w:val="0"/>
        <w:pageBreakBefore w:val="0"/>
        <w:widowControl w:val="0"/>
        <w:kinsoku/>
        <w:wordWrap/>
        <w:overflowPunct/>
        <w:topLinePunct w:val="0"/>
        <w:autoSpaceDE/>
        <w:autoSpaceDN/>
        <w:bidi w:val="0"/>
        <w:adjustRightInd/>
        <w:snapToGrid/>
        <w:spacing w:line="560" w:lineRule="atLeast"/>
        <w:ind w:firstLine="643" w:firstLineChars="200"/>
        <w:textAlignment w:val="auto"/>
        <w:rPr>
          <w:rFonts w:hint="eastAsia" w:hAnsi="宋体" w:cs="Times New Roman"/>
          <w:b/>
          <w:bCs/>
          <w:lang w:val="en-US" w:eastAsia="zh-CN"/>
        </w:rPr>
      </w:pPr>
      <w:r>
        <w:rPr>
          <w:rFonts w:hint="eastAsia" w:hAnsi="宋体" w:cs="Times New Roman"/>
          <w:b/>
          <w:bCs/>
          <w:lang w:val="en-US" w:eastAsia="zh-CN"/>
        </w:rPr>
        <w:t>1.《中华人民共和国文物保护法》</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第十六条各级人民政府制定城乡建设规划，应当根据文物保护的需要，事先由城乡建设规划部门会同文物行政部门商定对本行政区域内各级文物保护单位的保护措施，并纳入规划。</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第十七条文物保护单位的保护范围内不得进行其他建设工程或者爆破、钻探、挖掘等作业。但是，因特殊情况需要在文物保护单位的保护范围内进行其他建设工程或者爆破、钻探、挖掘等作业的，必须保证文物保护单位的安全，并经核定公布该文物保护单位的人民政府批准，在批准前应当征得上一级人民政府文物行政部门同意；</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第十八条在文物保护单位的建设控制地带内进行建设工程，不得破坏文物保护单位的历史风貌；工程设计方案应当根据文物保护单位的级别，经相应的文物行政部门同意后，报城乡建设规划部门批准。</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第十九条在文物保护单位的保护范围和建设控制地带内，不得建设污染文物保护单位及其环境的设施，不得进行可能影响文物保护单位安全及其环境的活动。对已有的污染文物保护单位及其环境的设施，应当限期治理。</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第六十六条有下列行为之一，尚不构成犯罪的，由县级以上人民政府文物主管部门责令改正，造成严重后果的，处五万元以上五十万元以下的罚款；情节严重的，由原发证机关吊销资质证书:</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一）擅自在文物保护单位的保护范围内进行建设工程或者爆破、钻探、挖掘等作业的；（二）在文物保护单位的建设控制地带内进行建设工程，其工程设计方案未经文物行政部门同意、报城乡建设规划部门批准，对文物保护单位的历史风貌造成破坏的；（三）擅自迁移、拆除不可移动文物的；（四）擅自修缮不可移动文物，明显改变文物原状的；（五）擅自在原址重建已全部毁坏的不可移动文物，造成文物破坏的；（六）施工单位未取得文物保护工程资质证书，擅自从事文物修缮、迁移、重建的。</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刻划、涂污或者损坏文物尚不严重的，或者损毁依照本法第十五条第一款规定设立的文物保护单位标志的，由公安机关或者文物所在单位给予警告，可以并处罚款。</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第六十七条在文物保护单位的保护范围内或者建设控制地带内建设污染文物保护单位及其环境的设施的，或者对已有的污染文物保护单位及其环境的设施未在规定的期限内完成治理的，由环境保护行政部门依照有关法律、法规的规定给予处罚。</w:t>
      </w:r>
    </w:p>
    <w:p>
      <w:pPr>
        <w:pStyle w:val="2"/>
        <w:keepNext w:val="0"/>
        <w:keepLines w:val="0"/>
        <w:pageBreakBefore w:val="0"/>
        <w:widowControl w:val="0"/>
        <w:kinsoku/>
        <w:wordWrap/>
        <w:overflowPunct/>
        <w:topLinePunct w:val="0"/>
        <w:autoSpaceDE/>
        <w:autoSpaceDN/>
        <w:bidi w:val="0"/>
        <w:adjustRightInd/>
        <w:snapToGrid/>
        <w:spacing w:line="560" w:lineRule="atLeast"/>
        <w:ind w:firstLine="643" w:firstLineChars="200"/>
        <w:textAlignment w:val="auto"/>
        <w:rPr>
          <w:rFonts w:hint="eastAsia" w:hAnsi="宋体" w:cs="Times New Roman"/>
          <w:b/>
          <w:bCs/>
          <w:lang w:val="en-US" w:eastAsia="zh-CN"/>
        </w:rPr>
      </w:pPr>
      <w:r>
        <w:rPr>
          <w:rFonts w:hint="eastAsia" w:hAnsi="宋体" w:cs="Times New Roman"/>
          <w:b/>
          <w:bCs/>
          <w:lang w:val="en-US" w:eastAsia="zh-CN"/>
        </w:rPr>
        <w:t>2.《中华人民共和国文物保护法实施条例》</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第十九条危害省级、设区的市、自治州级、县级文物保护单位安全或者破坏其历史风貌的建筑物、构筑物，由核定公布该文物保护单位的人民政府负责调查处理。</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第五十四条公安机关、工商行政管理、文物、海关、城乡规划、建设等有关部门及其工作人员，违反本条例规定，滥用审批权限、不履行职责或者发现违法行为不予查处的，对负有责任的主管人员和其他直接责任人员依法给予行政处分；构成犯罪的，依法追究刑事责任。</w:t>
      </w:r>
    </w:p>
    <w:p>
      <w:pPr>
        <w:pStyle w:val="2"/>
        <w:keepNext w:val="0"/>
        <w:keepLines w:val="0"/>
        <w:pageBreakBefore w:val="0"/>
        <w:widowControl w:val="0"/>
        <w:kinsoku/>
        <w:wordWrap/>
        <w:overflowPunct/>
        <w:topLinePunct w:val="0"/>
        <w:autoSpaceDE/>
        <w:autoSpaceDN/>
        <w:bidi w:val="0"/>
        <w:adjustRightInd/>
        <w:snapToGrid/>
        <w:spacing w:line="560" w:lineRule="atLeast"/>
        <w:ind w:firstLine="643" w:firstLineChars="200"/>
        <w:textAlignment w:val="auto"/>
        <w:rPr>
          <w:rFonts w:hint="eastAsia" w:hAnsi="宋体" w:cs="Times New Roman"/>
          <w:b/>
          <w:bCs/>
          <w:lang w:val="en-US" w:eastAsia="zh-CN"/>
        </w:rPr>
      </w:pPr>
      <w:r>
        <w:rPr>
          <w:rFonts w:hint="eastAsia" w:hAnsi="宋体" w:cs="Times New Roman"/>
          <w:b/>
          <w:bCs/>
          <w:lang w:val="en-US" w:eastAsia="zh-CN"/>
        </w:rPr>
        <w:t>3.《浙江省文物保护管理条例》</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第十八条省级、市级和县级文物保护单位不得擅自撤销。因自然或者意外原因损毁的，应当实行遗址保护。确需原址重建或者撤销的，必须经专家论证后依法报经省人民政府批准。</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第二十条修缮、保养、迁移、使用不可移动文物，必须遵守不改变文物原状原则，不得损毁、改建、添建。</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文物保护工程施工应当按照文物行政部门批准的工程设计方案进行。如需变更已批准的工程设计方案中的重要内容，必须经原审批机关批准。</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第二十三条确需在文物保护单位的保护范围和建设控制地带内进行工程建设或者爆破、钻探、挖掘等作业的，必须保证文物保护单位安全，并严格按照文物保护法的规定办理审批手续；未办理上述手续的，有关部门不得办理土地使用和生产、建设许可。对危害文物保护单位安全、污染文物保护单位及其环境、破坏文物保护单位历史风貌的已建设施、建筑物、构筑物，文物保护单位所在地县（市、区）人民政府应当责令限期治理或者依法拆迁。</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第五十六条违反本条例第二十条第二款规定，擅自变更工程设计方案的重要内容进行施工的，由县级以上人民政府文物行政部门责令改正，造成严重后果的，处五万元以上五十万元以下的罚款。</w:t>
      </w:r>
    </w:p>
    <w:p>
      <w:pPr>
        <w:pStyle w:val="2"/>
        <w:keepNext w:val="0"/>
        <w:keepLines w:val="0"/>
        <w:pageBreakBefore w:val="0"/>
        <w:widowControl w:val="0"/>
        <w:kinsoku/>
        <w:wordWrap/>
        <w:overflowPunct/>
        <w:topLinePunct w:val="0"/>
        <w:autoSpaceDE/>
        <w:autoSpaceDN/>
        <w:bidi w:val="0"/>
        <w:adjustRightInd/>
        <w:snapToGrid/>
        <w:spacing w:line="560" w:lineRule="atLeast"/>
        <w:ind w:firstLine="643" w:firstLineChars="200"/>
        <w:textAlignment w:val="auto"/>
        <w:rPr>
          <w:rFonts w:hint="default" w:ascii="黑体" w:hAnsi="黑体" w:eastAsia="黑体" w:cs="黑体"/>
          <w:b/>
          <w:bCs/>
          <w:lang w:val="en-US" w:eastAsia="zh-CN"/>
        </w:rPr>
      </w:pPr>
      <w:r>
        <w:rPr>
          <w:rFonts w:hint="eastAsia" w:ascii="黑体" w:hAnsi="黑体" w:eastAsia="黑体" w:cs="黑体"/>
          <w:b/>
          <w:bCs/>
          <w:lang w:val="en-US" w:eastAsia="zh-CN"/>
        </w:rPr>
        <w:t>三、遂昌县相关政策管控要求</w:t>
      </w:r>
    </w:p>
    <w:p>
      <w:pPr>
        <w:pStyle w:val="2"/>
        <w:keepNext w:val="0"/>
        <w:keepLines w:val="0"/>
        <w:pageBreakBefore w:val="0"/>
        <w:widowControl w:val="0"/>
        <w:kinsoku/>
        <w:wordWrap/>
        <w:overflowPunct/>
        <w:topLinePunct w:val="0"/>
        <w:autoSpaceDE/>
        <w:autoSpaceDN/>
        <w:bidi w:val="0"/>
        <w:adjustRightInd/>
        <w:snapToGrid/>
        <w:spacing w:line="560" w:lineRule="atLeast"/>
        <w:ind w:firstLine="643" w:firstLineChars="200"/>
        <w:textAlignment w:val="auto"/>
        <w:rPr>
          <w:rFonts w:hint="eastAsia" w:hAnsi="宋体" w:cs="Times New Roman"/>
          <w:b/>
          <w:bCs/>
          <w:lang w:val="en-US" w:eastAsia="zh-CN"/>
        </w:rPr>
      </w:pPr>
      <w:r>
        <w:rPr>
          <w:rFonts w:hint="eastAsia" w:hAnsi="宋体" w:cs="Times New Roman"/>
          <w:b/>
          <w:bCs/>
          <w:lang w:val="en-US" w:eastAsia="zh-CN"/>
        </w:rPr>
        <w:t>1.遂昌县人民政府关于印发《遂昌县农村住房建设管理办法》的通知（遂政发〔2021〕51号）</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宅基地申请资格和条件：第4点已列入旅游、文物、饮用水源保护范围和地质灾害隐患点需搬迁的；</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宅基地建房手续审批和建设管理：（二）拆建原则。因房屋结构、文物保护或已列入历史文化村落保护、传统古村落保护区范围等原因不能拆除的，应依法处置到位。在坚持农村宅基地“一户一宅”原则的前提下，允许村民将原合法的住宅调剂过户给本村符合建房条件的其他村民或本村集体组织。</w:t>
      </w:r>
    </w:p>
    <w:p>
      <w:pPr>
        <w:pStyle w:val="2"/>
        <w:keepNext w:val="0"/>
        <w:keepLines w:val="0"/>
        <w:pageBreakBefore w:val="0"/>
        <w:widowControl w:val="0"/>
        <w:kinsoku/>
        <w:wordWrap/>
        <w:overflowPunct/>
        <w:topLinePunct w:val="0"/>
        <w:autoSpaceDE/>
        <w:autoSpaceDN/>
        <w:bidi w:val="0"/>
        <w:adjustRightInd/>
        <w:snapToGrid/>
        <w:spacing w:line="560" w:lineRule="atLeast"/>
        <w:ind w:firstLine="643" w:firstLineChars="200"/>
        <w:textAlignment w:val="auto"/>
        <w:rPr>
          <w:rFonts w:hint="eastAsia" w:hAnsi="宋体" w:cs="Times New Roman"/>
          <w:b/>
          <w:bCs/>
          <w:lang w:val="en-US" w:eastAsia="zh-CN"/>
        </w:rPr>
      </w:pPr>
      <w:r>
        <w:rPr>
          <w:rFonts w:hint="eastAsia" w:hAnsi="宋体" w:cs="Times New Roman"/>
          <w:b/>
          <w:bCs/>
          <w:lang w:val="en-US" w:eastAsia="zh-CN"/>
        </w:rPr>
        <w:t>2.关于印发《〈遂昌县“大搬快聚富民安居”工程实施意见〉补充意见》的通知（遂大搬快聚办〔2021〕1 号）</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 xml:space="preserve">增加以下两个条款作为《实施意见》第四大点“搬迁对象”第（一）条“搬迁条件”的第二款和第三款。因传统村落、文物保护等原居住地房屋需保留的： </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hAnsi="宋体" w:cs="Times New Roman"/>
          <w:lang w:val="en-US" w:eastAsia="zh-CN"/>
        </w:rPr>
      </w:pPr>
      <w:r>
        <w:rPr>
          <w:rFonts w:hint="eastAsia" w:hAnsi="宋体" w:cs="Times New Roman"/>
          <w:lang w:val="en-US" w:eastAsia="zh-CN"/>
        </w:rPr>
        <w:t xml:space="preserve">（1）涉及传统村落、历史文化名村的农户，申请搬迁人口数达到整村人口数的 80%左右，将房屋产权过户给村集体，可申请享受大搬快聚政策。由县自然资源和规划局制定具体征收实施细则，适时启动征收程序。 </w:t>
      </w:r>
    </w:p>
    <w:p>
      <w:pPr>
        <w:pStyle w:val="2"/>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pPr>
      <w:r>
        <w:rPr>
          <w:rFonts w:hint="eastAsia" w:hAnsi="宋体" w:cs="Times New Roman"/>
          <w:lang w:val="en-US" w:eastAsia="zh-CN"/>
        </w:rPr>
        <w:t>（2）居住在列入不可移动文物、革命文物、历史建筑、文保点、各级文保单位等场所内的农户，申请享受大搬快聚政策，需经相关主管部门核准，农户将房屋产权过户给村集体后享受同等政策，保留建筑由属地乡镇街道管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xMDliMGFlMTYwOTQ3YTkzZGVmN2Q2Nzk1NWI0ZWEifQ=="/>
  </w:docVars>
  <w:rsids>
    <w:rsidRoot w:val="381B0026"/>
    <w:rsid w:val="156C055F"/>
    <w:rsid w:val="381B0026"/>
    <w:rsid w:val="6AEE03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Date"/>
    <w:basedOn w:val="1"/>
    <w:next w:val="1"/>
    <w:autoRedefine/>
    <w:qFormat/>
    <w:uiPriority w:val="0"/>
    <w:rPr>
      <w:rFonts w:ascii="仿宋_GB2312" w:eastAsia="仿宋_GB2312"/>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2024-01-10T06:53:00Z</dcterms:created>
  <dc:creator>毛灵林</dc:creator>
  <cp:lastModifiedBy>毛灵林</cp:lastModifiedBy>
  <dcterms:modified xsi:type="dcterms:W3CDTF">2024-04-30T04:45:46Z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B8064A3D03D0461494621AEE62FCE266_11</vt:lpwstr>
  </property>
</Properties>
</file>