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600" w:lineRule="exact"/>
        <w:jc w:val="center"/>
        <w:textAlignment w:val="baseline"/>
        <w:rPr>
          <w:rFonts w:hint="default" w:ascii="Times New Roman" w:hAnsi="Times New Roman" w:eastAsia="方正小标宋简体" w:cs="Times New Roman"/>
          <w:color w:val="auto"/>
          <w:spacing w:val="0"/>
          <w:w w:val="100"/>
          <w:sz w:val="44"/>
          <w:szCs w:val="44"/>
          <w:lang w:eastAsia="zh-CN"/>
        </w:rPr>
      </w:pPr>
      <w:r>
        <w:rPr>
          <w:rFonts w:hint="eastAsia" w:ascii="Times New Roman" w:hAnsi="Times New Roman" w:eastAsia="方正小标宋简体" w:cs="Times New Roman"/>
          <w:color w:val="auto"/>
          <w:spacing w:val="0"/>
          <w:w w:val="100"/>
          <w:sz w:val="44"/>
          <w:szCs w:val="44"/>
          <w:lang w:eastAsia="zh-CN"/>
        </w:rPr>
        <w:t>遂昌县财政局关于印发</w:t>
      </w:r>
      <w:r>
        <w:rPr>
          <w:rFonts w:hint="default" w:ascii="Times New Roman" w:hAnsi="Times New Roman" w:eastAsia="方正小标宋简体" w:cs="Times New Roman"/>
          <w:color w:val="auto"/>
          <w:spacing w:val="0"/>
          <w:w w:val="100"/>
          <w:sz w:val="44"/>
          <w:szCs w:val="44"/>
          <w:lang w:eastAsia="zh-CN"/>
        </w:rPr>
        <w:t>扩中家庭贷款贴息补助实施</w:t>
      </w:r>
      <w:r>
        <w:rPr>
          <w:rFonts w:hint="eastAsia" w:ascii="Times New Roman" w:hAnsi="Times New Roman" w:eastAsia="方正小标宋简体" w:cs="Times New Roman"/>
          <w:color w:val="auto"/>
          <w:spacing w:val="0"/>
          <w:w w:val="100"/>
          <w:sz w:val="44"/>
          <w:szCs w:val="44"/>
          <w:lang w:eastAsia="zh-CN"/>
        </w:rPr>
        <w:t>管理办法的通知</w:t>
      </w:r>
    </w:p>
    <w:p>
      <w:pPr>
        <w:pStyle w:val="4"/>
        <w:keepNext w:val="0"/>
        <w:keepLines w:val="0"/>
        <w:pageBreakBefore w:val="0"/>
        <w:widowControl w:val="0"/>
        <w:kinsoku/>
        <w:wordWrap/>
        <w:overflowPunct/>
        <w:bidi w:val="0"/>
        <w:spacing w:line="600" w:lineRule="exact"/>
        <w:ind w:firstLine="3200" w:firstLineChars="1000"/>
        <w:textAlignment w:val="auto"/>
        <w:rPr>
          <w:rFonts w:hint="eastAsia" w:ascii="楷体" w:hAnsi="楷体" w:eastAsia="楷体" w:cs="楷体"/>
          <w:sz w:val="36"/>
          <w:szCs w:val="36"/>
          <w:lang w:val="en-US" w:eastAsia="zh-CN"/>
        </w:rPr>
      </w:pPr>
      <w:r>
        <w:rPr>
          <w:rFonts w:hint="eastAsia" w:eastAsia="宋体"/>
          <w:lang w:val="en-US" w:eastAsia="zh-CN"/>
        </w:rPr>
        <w:t xml:space="preserve"> </w:t>
      </w:r>
      <w:r>
        <w:rPr>
          <w:rFonts w:hint="eastAsia" w:ascii="楷体" w:hAnsi="楷体" w:eastAsia="楷体" w:cs="楷体"/>
          <w:sz w:val="36"/>
          <w:szCs w:val="36"/>
          <w:lang w:val="en-US" w:eastAsia="zh-CN"/>
        </w:rPr>
        <w:t>(征求意见稿）</w:t>
      </w:r>
    </w:p>
    <w:p>
      <w:pPr>
        <w:pStyle w:val="2"/>
        <w:spacing w:line="247" w:lineRule="auto"/>
        <w:rPr>
          <w:rFonts w:hint="eastAsia" w:eastAsia="宋体"/>
          <w:lang w:val="en-US" w:eastAsia="zh-CN"/>
        </w:rPr>
      </w:pPr>
    </w:p>
    <w:p>
      <w:pPr>
        <w:pStyle w:val="2"/>
        <w:spacing w:line="248" w:lineRule="auto"/>
      </w:pPr>
    </w:p>
    <w:p>
      <w:pPr>
        <w:spacing w:before="101" w:line="323" w:lineRule="auto"/>
        <w:ind w:left="3" w:firstLine="644"/>
        <w:jc w:val="both"/>
        <w:rPr>
          <w:rFonts w:hint="eastAsia" w:ascii="仿宋" w:hAnsi="仿宋" w:eastAsia="仿宋_GB2312" w:cs="仿宋"/>
          <w:sz w:val="31"/>
          <w:szCs w:val="31"/>
          <w:lang w:eastAsia="zh-CN"/>
        </w:rPr>
      </w:pPr>
      <w:r>
        <w:rPr>
          <w:rFonts w:hint="default" w:ascii="Times New Roman" w:hAnsi="Times New Roman" w:eastAsia="仿宋_GB2312" w:cs="Times New Roman"/>
          <w:color w:val="auto"/>
          <w:spacing w:val="0"/>
          <w:w w:val="100"/>
          <w:sz w:val="32"/>
          <w:szCs w:val="32"/>
        </w:rPr>
        <w:t>为贯彻落实</w:t>
      </w:r>
      <w:r>
        <w:rPr>
          <w:rFonts w:hint="eastAsia" w:ascii="Times New Roman" w:hAnsi="Times New Roman" w:eastAsia="仿宋_GB2312" w:cs="Times New Roman"/>
          <w:color w:val="auto"/>
          <w:spacing w:val="0"/>
          <w:w w:val="100"/>
          <w:sz w:val="32"/>
          <w:szCs w:val="32"/>
          <w:lang w:eastAsia="zh-CN"/>
        </w:rPr>
        <w:t>《</w:t>
      </w:r>
      <w:r>
        <w:rPr>
          <w:rFonts w:hint="default" w:ascii="Times New Roman" w:hAnsi="Times New Roman" w:eastAsia="仿宋_GB2312" w:cs="Times New Roman"/>
          <w:color w:val="auto"/>
          <w:spacing w:val="0"/>
          <w:w w:val="100"/>
          <w:sz w:val="32"/>
          <w:szCs w:val="32"/>
        </w:rPr>
        <w:t>浙江省财政厅关于财金助力扩中家庭项目扩面推广的通知</w:t>
      </w:r>
      <w:r>
        <w:rPr>
          <w:rFonts w:hint="eastAsia" w:ascii="Times New Roman" w:hAnsi="Times New Roman" w:eastAsia="仿宋_GB2312" w:cs="Times New Roman"/>
          <w:color w:val="auto"/>
          <w:spacing w:val="0"/>
          <w:w w:val="100"/>
          <w:sz w:val="32"/>
          <w:szCs w:val="32"/>
          <w:lang w:eastAsia="zh-CN"/>
        </w:rPr>
        <w:t>》（</w:t>
      </w:r>
      <w:r>
        <w:rPr>
          <w:rFonts w:hint="default" w:ascii="Times New Roman" w:hAnsi="Times New Roman" w:eastAsia="仿宋_GB2312" w:cs="Times New Roman"/>
          <w:color w:val="auto"/>
          <w:spacing w:val="0"/>
          <w:w w:val="100"/>
          <w:sz w:val="32"/>
          <w:szCs w:val="32"/>
        </w:rPr>
        <w:t>浙财金〔2024〕22号</w:t>
      </w:r>
      <w:r>
        <w:rPr>
          <w:rFonts w:hint="eastAsia" w:ascii="Times New Roman" w:hAnsi="Times New Roman" w:eastAsia="仿宋_GB2312" w:cs="Times New Roman"/>
          <w:color w:val="auto"/>
          <w:spacing w:val="0"/>
          <w:w w:val="100"/>
          <w:sz w:val="32"/>
          <w:szCs w:val="32"/>
          <w:lang w:eastAsia="zh-CN"/>
        </w:rPr>
        <w:t>）、</w:t>
      </w:r>
      <w:r>
        <w:rPr>
          <w:rFonts w:hint="default" w:ascii="Times New Roman" w:hAnsi="Times New Roman" w:eastAsia="仿宋_GB2312" w:cs="Times New Roman"/>
          <w:color w:val="auto"/>
          <w:spacing w:val="0"/>
          <w:w w:val="100"/>
          <w:sz w:val="32"/>
          <w:szCs w:val="32"/>
        </w:rPr>
        <w:t>《浙江省财政厅关于印发财金助力扩中家庭项目实施方案（试行）的通知》（浙财金〔2023〕14号）</w:t>
      </w:r>
      <w:r>
        <w:rPr>
          <w:rFonts w:hint="eastAsia" w:ascii="Times New Roman" w:hAnsi="Times New Roman" w:eastAsia="仿宋_GB2312" w:cs="Times New Roman"/>
          <w:color w:val="auto"/>
          <w:spacing w:val="0"/>
          <w:w w:val="100"/>
          <w:sz w:val="32"/>
          <w:szCs w:val="32"/>
          <w:lang w:eastAsia="zh-CN"/>
        </w:rPr>
        <w:t>、《浙江省财政厅关于印发财金助力扩中家庭贴息奖补办法（试行）的通知》（浙财金〔2023〕48号）等文件精神</w:t>
      </w:r>
      <w:r>
        <w:rPr>
          <w:rFonts w:hint="default" w:ascii="Times New Roman" w:hAnsi="Times New Roman" w:eastAsia="仿宋_GB2312" w:cs="Times New Roman"/>
          <w:color w:val="auto"/>
          <w:spacing w:val="0"/>
          <w:w w:val="100"/>
          <w:sz w:val="32"/>
          <w:szCs w:val="32"/>
        </w:rPr>
        <w:t>，加快构建家庭型财税政策体系，助推橄榄型社会建设，特制定本实施办法</w:t>
      </w:r>
      <w:r>
        <w:rPr>
          <w:rFonts w:hint="eastAsia" w:ascii="Times New Roman" w:hAnsi="Times New Roman" w:eastAsia="仿宋_GB2312" w:cs="Times New Roman"/>
          <w:color w:val="auto"/>
          <w:spacing w:val="0"/>
          <w:w w:val="100"/>
          <w:sz w:val="32"/>
          <w:szCs w:val="32"/>
          <w:lang w:eastAsia="zh-CN"/>
        </w:rPr>
        <w:t>。</w:t>
      </w:r>
    </w:p>
    <w:p>
      <w:pPr>
        <w:spacing w:before="55" w:line="325" w:lineRule="auto"/>
        <w:ind w:firstLine="627"/>
        <w:jc w:val="both"/>
        <w:rPr>
          <w:rFonts w:hint="default" w:ascii="Times New Roman" w:hAnsi="Times New Roman" w:eastAsia="仿宋_GB2312" w:cs="Times New Roman"/>
          <w:color w:val="auto"/>
          <w:spacing w:val="0"/>
          <w:w w:val="100"/>
          <w:sz w:val="32"/>
          <w:szCs w:val="32"/>
        </w:rPr>
      </w:pPr>
      <w:r>
        <w:rPr>
          <w:rFonts w:ascii="黑体" w:hAnsi="黑体" w:eastAsia="黑体" w:cs="黑体"/>
          <w:spacing w:val="10"/>
          <w:sz w:val="31"/>
          <w:szCs w:val="31"/>
        </w:rPr>
        <w:t>第一条</w:t>
      </w:r>
      <w:r>
        <w:rPr>
          <w:rFonts w:hint="eastAsia" w:ascii="黑体" w:hAnsi="黑体" w:eastAsia="黑体" w:cs="黑体"/>
          <w:spacing w:val="10"/>
          <w:sz w:val="31"/>
          <w:szCs w:val="31"/>
          <w:lang w:val="en-US" w:eastAsia="zh-CN"/>
        </w:rPr>
        <w:t xml:space="preserve">  </w:t>
      </w:r>
      <w:r>
        <w:rPr>
          <w:rFonts w:hint="default" w:ascii="Times New Roman" w:hAnsi="Times New Roman" w:eastAsia="仿宋_GB2312" w:cs="Times New Roman"/>
          <w:color w:val="auto"/>
          <w:spacing w:val="0"/>
          <w:w w:val="100"/>
          <w:sz w:val="32"/>
          <w:szCs w:val="32"/>
        </w:rPr>
        <w:t>贴息对象：低保边缘户到家庭年可支配收入10万元区间的家庭（不含低保低边特困家庭）；初筛对象主要参考家庭住宅、公积金缴纳金额、家庭缴纳职工养老保险、家庭用车、市场主体纳税等要素，经大数据综合分析生成。</w:t>
      </w:r>
    </w:p>
    <w:p>
      <w:pPr>
        <w:spacing w:before="53" w:line="326" w:lineRule="auto"/>
        <w:ind w:firstLine="627"/>
        <w:jc w:val="both"/>
        <w:rPr>
          <w:rFonts w:hint="default" w:ascii="Times New Roman" w:hAnsi="Times New Roman" w:eastAsia="仿宋_GB2312" w:cs="Times New Roman"/>
          <w:color w:val="auto"/>
          <w:spacing w:val="0"/>
          <w:w w:val="100"/>
          <w:sz w:val="32"/>
          <w:szCs w:val="32"/>
        </w:rPr>
      </w:pPr>
      <w:r>
        <w:rPr>
          <w:rFonts w:ascii="黑体" w:hAnsi="黑体" w:eastAsia="黑体" w:cs="黑体"/>
          <w:spacing w:val="8"/>
          <w:sz w:val="31"/>
          <w:szCs w:val="31"/>
        </w:rPr>
        <w:t>第二条</w:t>
      </w:r>
      <w:r>
        <w:rPr>
          <w:rFonts w:hint="eastAsia" w:ascii="黑体" w:hAnsi="黑体" w:eastAsia="黑体" w:cs="黑体"/>
          <w:spacing w:val="8"/>
          <w:sz w:val="31"/>
          <w:szCs w:val="31"/>
          <w:lang w:val="en-US" w:eastAsia="zh-CN"/>
        </w:rPr>
        <w:t xml:space="preserve">  </w:t>
      </w:r>
      <w:r>
        <w:rPr>
          <w:rFonts w:hint="default" w:ascii="Times New Roman" w:hAnsi="Times New Roman" w:eastAsia="仿宋_GB2312" w:cs="Times New Roman"/>
          <w:color w:val="auto"/>
          <w:spacing w:val="0"/>
          <w:w w:val="100"/>
          <w:sz w:val="32"/>
          <w:szCs w:val="32"/>
        </w:rPr>
        <w:t>贴息条件：通过</w:t>
      </w:r>
      <w:r>
        <w:rPr>
          <w:rFonts w:hint="eastAsia" w:ascii="Times New Roman" w:hAnsi="Times New Roman" w:eastAsia="仿宋_GB2312" w:cs="Times New Roman"/>
          <w:color w:val="auto"/>
          <w:spacing w:val="0"/>
          <w:w w:val="100"/>
          <w:sz w:val="32"/>
          <w:szCs w:val="32"/>
          <w:lang w:eastAsia="zh-CN"/>
        </w:rPr>
        <w:t>遂昌</w:t>
      </w:r>
      <w:r>
        <w:rPr>
          <w:rFonts w:hint="default" w:ascii="Times New Roman" w:hAnsi="Times New Roman" w:eastAsia="仿宋_GB2312" w:cs="Times New Roman"/>
          <w:color w:val="auto"/>
          <w:spacing w:val="0"/>
          <w:w w:val="100"/>
          <w:sz w:val="32"/>
          <w:szCs w:val="32"/>
        </w:rPr>
        <w:t>农商银行获得“共富”系列贷款</w:t>
      </w:r>
      <w:r>
        <w:rPr>
          <w:rFonts w:hint="eastAsia" w:ascii="Times New Roman" w:hAnsi="Times New Roman" w:eastAsia="仿宋_GB2312" w:cs="Times New Roman"/>
          <w:color w:val="auto"/>
          <w:spacing w:val="0"/>
          <w:w w:val="100"/>
          <w:sz w:val="32"/>
          <w:szCs w:val="32"/>
          <w:lang w:eastAsia="zh-CN"/>
        </w:rPr>
        <w:t>支持，</w:t>
      </w:r>
      <w:r>
        <w:rPr>
          <w:rFonts w:hint="default" w:ascii="Times New Roman" w:hAnsi="Times New Roman" w:eastAsia="仿宋_GB2312" w:cs="Times New Roman"/>
          <w:color w:val="auto"/>
          <w:spacing w:val="0"/>
          <w:w w:val="100"/>
          <w:sz w:val="32"/>
          <w:szCs w:val="32"/>
        </w:rPr>
        <w:t>且已纳入扩中家庭名单库（以贷款合同起始时间为准）的家庭，</w:t>
      </w:r>
      <w:r>
        <w:rPr>
          <w:rFonts w:hint="eastAsia" w:ascii="Times New Roman" w:hAnsi="Times New Roman" w:eastAsia="仿宋_GB2312" w:cs="Times New Roman"/>
          <w:color w:val="auto"/>
          <w:spacing w:val="0"/>
          <w:w w:val="100"/>
          <w:sz w:val="32"/>
          <w:szCs w:val="32"/>
          <w:lang w:eastAsia="zh-CN"/>
        </w:rPr>
        <w:t>遂昌</w:t>
      </w:r>
      <w:r>
        <w:rPr>
          <w:rFonts w:hint="default" w:ascii="Times New Roman" w:hAnsi="Times New Roman" w:eastAsia="仿宋_GB2312" w:cs="Times New Roman"/>
          <w:color w:val="auto"/>
          <w:spacing w:val="0"/>
          <w:w w:val="100"/>
          <w:sz w:val="32"/>
          <w:szCs w:val="32"/>
        </w:rPr>
        <w:t>农商银行可在扩中家庭利息结算时对贴息金额直接给予减免。</w:t>
      </w:r>
    </w:p>
    <w:p>
      <w:pPr>
        <w:spacing w:before="52" w:line="327" w:lineRule="auto"/>
        <w:ind w:left="3" w:firstLine="624"/>
        <w:jc w:val="both"/>
        <w:rPr>
          <w:rFonts w:ascii="仿宋" w:hAnsi="仿宋" w:eastAsia="仿宋" w:cs="仿宋"/>
          <w:sz w:val="31"/>
          <w:szCs w:val="31"/>
          <w:highlight w:val="none"/>
        </w:rPr>
      </w:pPr>
      <w:r>
        <w:rPr>
          <w:rFonts w:ascii="黑体" w:hAnsi="黑体" w:eastAsia="黑体" w:cs="黑体"/>
          <w:spacing w:val="19"/>
          <w:sz w:val="31"/>
          <w:szCs w:val="31"/>
        </w:rPr>
        <w:t>第三条</w:t>
      </w:r>
      <w:r>
        <w:rPr>
          <w:rFonts w:hint="eastAsia" w:ascii="黑体" w:hAnsi="黑体" w:eastAsia="黑体" w:cs="黑体"/>
          <w:spacing w:val="19"/>
          <w:sz w:val="31"/>
          <w:szCs w:val="31"/>
          <w:lang w:val="en-US" w:eastAsia="zh-CN"/>
        </w:rPr>
        <w:t xml:space="preserve">  </w:t>
      </w:r>
      <w:r>
        <w:rPr>
          <w:rFonts w:hint="default" w:ascii="Times New Roman" w:hAnsi="Times New Roman" w:eastAsia="仿宋_GB2312" w:cs="Times New Roman"/>
          <w:color w:val="auto"/>
          <w:spacing w:val="0"/>
          <w:w w:val="100"/>
          <w:sz w:val="32"/>
          <w:szCs w:val="32"/>
        </w:rPr>
        <w:t>对象生成：</w:t>
      </w:r>
      <w:r>
        <w:rPr>
          <w:rFonts w:hint="eastAsia" w:ascii="Times New Roman" w:hAnsi="Times New Roman" w:eastAsia="仿宋_GB2312" w:cs="Times New Roman"/>
          <w:color w:val="auto"/>
          <w:spacing w:val="0"/>
          <w:w w:val="100"/>
          <w:sz w:val="32"/>
          <w:szCs w:val="32"/>
          <w:lang w:eastAsia="zh-CN"/>
        </w:rPr>
        <w:t>浙江</w:t>
      </w:r>
      <w:r>
        <w:rPr>
          <w:rFonts w:hint="default" w:ascii="Times New Roman" w:hAnsi="Times New Roman" w:eastAsia="仿宋_GB2312" w:cs="Times New Roman"/>
          <w:color w:val="auto"/>
          <w:spacing w:val="0"/>
          <w:w w:val="100"/>
          <w:sz w:val="32"/>
          <w:szCs w:val="32"/>
        </w:rPr>
        <w:t>省财政厅牵头初步建立扩中家庭名单</w:t>
      </w:r>
      <w:r>
        <w:rPr>
          <w:rFonts w:hint="eastAsia" w:ascii="Times New Roman" w:hAnsi="Times New Roman" w:eastAsia="仿宋_GB2312" w:cs="Times New Roman"/>
          <w:color w:val="auto"/>
          <w:spacing w:val="0"/>
          <w:w w:val="100"/>
          <w:sz w:val="32"/>
          <w:szCs w:val="32"/>
          <w:lang w:eastAsia="zh-CN"/>
        </w:rPr>
        <w:t>库，</w:t>
      </w:r>
      <w:r>
        <w:rPr>
          <w:rFonts w:hint="default" w:ascii="Times New Roman" w:hAnsi="Times New Roman" w:eastAsia="仿宋_GB2312" w:cs="Times New Roman"/>
          <w:color w:val="auto"/>
          <w:spacing w:val="0"/>
          <w:w w:val="100"/>
          <w:sz w:val="32"/>
          <w:szCs w:val="32"/>
        </w:rPr>
        <w:t>并由浙江农商银行系统尽调校准</w:t>
      </w:r>
      <w:r>
        <w:rPr>
          <w:rFonts w:hint="eastAsia" w:ascii="Times New Roman" w:hAnsi="Times New Roman" w:eastAsia="仿宋_GB2312" w:cs="Times New Roman"/>
          <w:color w:val="auto"/>
          <w:spacing w:val="0"/>
          <w:w w:val="100"/>
          <w:sz w:val="32"/>
          <w:szCs w:val="32"/>
          <w:lang w:eastAsia="zh-CN"/>
        </w:rPr>
        <w:t>；</w:t>
      </w:r>
      <w:r>
        <w:rPr>
          <w:rFonts w:hint="eastAsia" w:ascii="Times New Roman" w:hAnsi="Times New Roman" w:eastAsia="仿宋_GB2312" w:cs="Times New Roman"/>
          <w:color w:val="auto"/>
          <w:spacing w:val="0"/>
          <w:w w:val="100"/>
          <w:sz w:val="32"/>
          <w:szCs w:val="32"/>
          <w:lang w:val="en-US" w:eastAsia="zh-CN"/>
        </w:rPr>
        <w:t>非扩中家庭名单库，但经论证可以纳入扩中家庭政策对象</w:t>
      </w:r>
      <w:r>
        <w:rPr>
          <w:rFonts w:hint="default" w:ascii="Times New Roman" w:hAnsi="Times New Roman" w:eastAsia="仿宋_GB2312" w:cs="Times New Roman"/>
          <w:color w:val="auto"/>
          <w:spacing w:val="0"/>
          <w:w w:val="100"/>
          <w:sz w:val="32"/>
          <w:szCs w:val="32"/>
        </w:rPr>
        <w:t>。遂昌农商</w:t>
      </w:r>
      <w:r>
        <w:rPr>
          <w:rFonts w:hint="eastAsia" w:ascii="Times New Roman" w:hAnsi="Times New Roman" w:eastAsia="仿宋_GB2312" w:cs="Times New Roman"/>
          <w:color w:val="auto"/>
          <w:spacing w:val="0"/>
          <w:w w:val="100"/>
          <w:sz w:val="32"/>
          <w:szCs w:val="32"/>
          <w:lang w:eastAsia="zh-CN"/>
        </w:rPr>
        <w:t>银</w:t>
      </w:r>
      <w:r>
        <w:rPr>
          <w:rFonts w:hint="default" w:ascii="Times New Roman" w:hAnsi="Times New Roman" w:eastAsia="仿宋_GB2312" w:cs="Times New Roman"/>
          <w:color w:val="auto"/>
          <w:spacing w:val="0"/>
          <w:w w:val="100"/>
          <w:sz w:val="32"/>
          <w:szCs w:val="32"/>
        </w:rPr>
        <w:t>行根据扩中家庭名单开展信用评价，线上数</w:t>
      </w:r>
      <w:r>
        <w:rPr>
          <w:rFonts w:hint="default" w:ascii="Times New Roman" w:hAnsi="Times New Roman" w:eastAsia="仿宋_GB2312" w:cs="Times New Roman"/>
          <w:color w:val="auto"/>
          <w:spacing w:val="0"/>
          <w:w w:val="100"/>
          <w:sz w:val="32"/>
          <w:szCs w:val="32"/>
          <w:highlight w:val="none"/>
        </w:rPr>
        <w:t>字化与线下走访，收集、修改、丰富相关家庭信息标识，建立扩中家庭信用档案，并提供相应的金融服务。</w:t>
      </w:r>
    </w:p>
    <w:p>
      <w:pPr>
        <w:spacing w:before="50" w:line="326" w:lineRule="auto"/>
        <w:ind w:right="1" w:firstLine="628"/>
        <w:jc w:val="both"/>
        <w:rPr>
          <w:rFonts w:hint="default" w:ascii="Times New Roman" w:hAnsi="Times New Roman" w:eastAsia="仿宋_GB2312" w:cs="Times New Roman"/>
          <w:color w:val="auto"/>
          <w:spacing w:val="0"/>
          <w:w w:val="100"/>
          <w:sz w:val="32"/>
          <w:szCs w:val="32"/>
          <w:highlight w:val="none"/>
        </w:rPr>
      </w:pPr>
      <w:r>
        <w:rPr>
          <w:rFonts w:ascii="黑体" w:hAnsi="黑体" w:eastAsia="黑体" w:cs="黑体"/>
          <w:spacing w:val="8"/>
          <w:sz w:val="31"/>
          <w:szCs w:val="31"/>
          <w:highlight w:val="none"/>
        </w:rPr>
        <w:t>第四条</w:t>
      </w:r>
      <w:r>
        <w:rPr>
          <w:rFonts w:hint="eastAsia" w:ascii="黑体" w:hAnsi="黑体" w:eastAsia="黑体" w:cs="黑体"/>
          <w:spacing w:val="8"/>
          <w:sz w:val="31"/>
          <w:szCs w:val="31"/>
          <w:highlight w:val="none"/>
          <w:lang w:val="en-US" w:eastAsia="zh-CN"/>
        </w:rPr>
        <w:t xml:space="preserve">  </w:t>
      </w:r>
      <w:r>
        <w:rPr>
          <w:rFonts w:hint="default" w:ascii="Times New Roman" w:hAnsi="Times New Roman" w:eastAsia="仿宋_GB2312" w:cs="Times New Roman"/>
          <w:color w:val="auto"/>
          <w:spacing w:val="0"/>
          <w:w w:val="100"/>
          <w:sz w:val="32"/>
          <w:szCs w:val="32"/>
          <w:highlight w:val="none"/>
        </w:rPr>
        <w:t>贴息标准：新增扩中家庭贷款利率不高于3.5%，对高出3.5%部分由</w:t>
      </w:r>
      <w:r>
        <w:rPr>
          <w:rFonts w:hint="eastAsia" w:ascii="Times New Roman" w:hAnsi="Times New Roman" w:eastAsia="仿宋_GB2312" w:cs="Times New Roman"/>
          <w:color w:val="auto"/>
          <w:spacing w:val="0"/>
          <w:w w:val="100"/>
          <w:sz w:val="32"/>
          <w:szCs w:val="32"/>
          <w:highlight w:val="none"/>
          <w:lang w:eastAsia="zh-CN"/>
        </w:rPr>
        <w:t>县</w:t>
      </w:r>
      <w:r>
        <w:rPr>
          <w:rFonts w:hint="default" w:ascii="Times New Roman" w:hAnsi="Times New Roman" w:eastAsia="仿宋_GB2312" w:cs="Times New Roman"/>
          <w:color w:val="auto"/>
          <w:spacing w:val="0"/>
          <w:w w:val="100"/>
          <w:sz w:val="32"/>
          <w:szCs w:val="32"/>
          <w:highlight w:val="none"/>
        </w:rPr>
        <w:t>财政与</w:t>
      </w:r>
      <w:r>
        <w:rPr>
          <w:rFonts w:hint="eastAsia" w:ascii="Times New Roman" w:hAnsi="Times New Roman" w:eastAsia="仿宋_GB2312" w:cs="Times New Roman"/>
          <w:color w:val="auto"/>
          <w:spacing w:val="0"/>
          <w:w w:val="100"/>
          <w:sz w:val="32"/>
          <w:szCs w:val="32"/>
          <w:highlight w:val="none"/>
          <w:lang w:eastAsia="zh-CN"/>
        </w:rPr>
        <w:t>遂昌</w:t>
      </w:r>
      <w:r>
        <w:rPr>
          <w:rFonts w:hint="default" w:ascii="Times New Roman" w:hAnsi="Times New Roman" w:eastAsia="仿宋_GB2312" w:cs="Times New Roman"/>
          <w:color w:val="auto"/>
          <w:spacing w:val="0"/>
          <w:w w:val="100"/>
          <w:sz w:val="32"/>
          <w:szCs w:val="32"/>
          <w:highlight w:val="none"/>
        </w:rPr>
        <w:t>农商银行按1：1承担贴息和让利，且</w:t>
      </w:r>
      <w:r>
        <w:rPr>
          <w:rFonts w:hint="eastAsia" w:ascii="Times New Roman" w:hAnsi="Times New Roman" w:eastAsia="仿宋_GB2312" w:cs="Times New Roman"/>
          <w:color w:val="auto"/>
          <w:spacing w:val="0"/>
          <w:w w:val="100"/>
          <w:sz w:val="32"/>
          <w:szCs w:val="32"/>
          <w:highlight w:val="none"/>
          <w:lang w:eastAsia="zh-CN"/>
        </w:rPr>
        <w:t>财政贴息不超过</w:t>
      </w:r>
      <w:r>
        <w:rPr>
          <w:rFonts w:hint="default" w:ascii="Times New Roman" w:hAnsi="Times New Roman" w:eastAsia="仿宋_GB2312" w:cs="Times New Roman"/>
          <w:color w:val="auto"/>
          <w:spacing w:val="0"/>
          <w:w w:val="100"/>
          <w:sz w:val="32"/>
          <w:szCs w:val="32"/>
          <w:highlight w:val="none"/>
        </w:rPr>
        <w:t>1.8%</w:t>
      </w:r>
      <w:r>
        <w:rPr>
          <w:rFonts w:hint="eastAsia" w:ascii="Times New Roman" w:hAnsi="Times New Roman" w:eastAsia="仿宋_GB2312" w:cs="Times New Roman"/>
          <w:color w:val="auto"/>
          <w:spacing w:val="0"/>
          <w:w w:val="100"/>
          <w:sz w:val="32"/>
          <w:szCs w:val="32"/>
          <w:highlight w:val="none"/>
          <w:lang w:eastAsia="zh-CN"/>
        </w:rPr>
        <w:t>，其余部分由遂昌农商银行承担让利。</w:t>
      </w:r>
      <w:r>
        <w:rPr>
          <w:rFonts w:hint="default" w:ascii="Times New Roman" w:hAnsi="Times New Roman" w:eastAsia="仿宋_GB2312" w:cs="Times New Roman"/>
          <w:color w:val="auto"/>
          <w:spacing w:val="0"/>
          <w:w w:val="100"/>
          <w:sz w:val="32"/>
          <w:szCs w:val="32"/>
          <w:highlight w:val="none"/>
        </w:rPr>
        <w:t>贴息贷款合同期限最长不超过一年，允许同笔合同多次循环使</w:t>
      </w:r>
      <w:bookmarkStart w:id="0" w:name="_GoBack"/>
      <w:bookmarkEnd w:id="0"/>
      <w:r>
        <w:rPr>
          <w:rFonts w:hint="default" w:ascii="Times New Roman" w:hAnsi="Times New Roman" w:eastAsia="仿宋_GB2312" w:cs="Times New Roman"/>
          <w:color w:val="auto"/>
          <w:spacing w:val="0"/>
          <w:w w:val="100"/>
          <w:sz w:val="32"/>
          <w:szCs w:val="32"/>
          <w:highlight w:val="none"/>
        </w:rPr>
        <w:t>用。贴息奖补金额按借款人实际使用资金的金额和期限计算,其中:对于财金助力扩中家庭项目实施日至2024年12月31日期间发放的“共富”贷款,最晚可计算至2025年12月31日;对于2025年度发放的“共富”贷款,最晚可计算至2026年12月31日。</w:t>
      </w:r>
    </w:p>
    <w:p>
      <w:pPr>
        <w:spacing w:before="53" w:line="322" w:lineRule="auto"/>
        <w:ind w:firstLine="627"/>
        <w:jc w:val="both"/>
        <w:rPr>
          <w:rFonts w:hint="default" w:ascii="Times New Roman" w:hAnsi="Times New Roman" w:eastAsia="仿宋_GB2312" w:cs="Times New Roman"/>
          <w:color w:val="auto"/>
          <w:spacing w:val="0"/>
          <w:w w:val="100"/>
          <w:sz w:val="32"/>
          <w:szCs w:val="32"/>
          <w:highlight w:val="none"/>
        </w:rPr>
      </w:pPr>
      <w:r>
        <w:rPr>
          <w:rFonts w:ascii="黑体" w:hAnsi="黑体" w:eastAsia="黑体" w:cs="黑体"/>
          <w:spacing w:val="7"/>
          <w:sz w:val="31"/>
          <w:szCs w:val="31"/>
          <w:highlight w:val="none"/>
        </w:rPr>
        <w:t>第五条</w:t>
      </w:r>
      <w:r>
        <w:rPr>
          <w:rFonts w:hint="eastAsia" w:ascii="黑体" w:hAnsi="黑体" w:eastAsia="黑体" w:cs="黑体"/>
          <w:spacing w:val="7"/>
          <w:sz w:val="31"/>
          <w:szCs w:val="31"/>
          <w:highlight w:val="none"/>
          <w:lang w:val="en-US" w:eastAsia="zh-CN"/>
        </w:rPr>
        <w:t xml:space="preserve">  </w:t>
      </w:r>
      <w:r>
        <w:rPr>
          <w:rFonts w:hint="default" w:ascii="Times New Roman" w:hAnsi="Times New Roman" w:eastAsia="仿宋_GB2312" w:cs="Times New Roman"/>
          <w:color w:val="auto"/>
          <w:spacing w:val="0"/>
          <w:w w:val="100"/>
          <w:sz w:val="32"/>
          <w:szCs w:val="32"/>
          <w:highlight w:val="none"/>
        </w:rPr>
        <w:t>申报流程：遂昌农商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行委托第三方机构按年开展扩中家庭贷款贴息专项审计，经审计后由遂昌农商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行将扩中家庭贷款贴息申请汇总表、专项审计报告及贴息资金补助申请报告报</w:t>
      </w:r>
      <w:r>
        <w:rPr>
          <w:rFonts w:hint="eastAsia" w:ascii="Times New Roman" w:hAnsi="Times New Roman" w:eastAsia="仿宋_GB2312" w:cs="Times New Roman"/>
          <w:color w:val="auto"/>
          <w:spacing w:val="0"/>
          <w:w w:val="100"/>
          <w:sz w:val="32"/>
          <w:szCs w:val="32"/>
          <w:highlight w:val="none"/>
          <w:lang w:eastAsia="zh-CN"/>
        </w:rPr>
        <w:t>工作专班</w:t>
      </w:r>
      <w:r>
        <w:rPr>
          <w:rFonts w:hint="default" w:ascii="Times New Roman" w:hAnsi="Times New Roman" w:eastAsia="仿宋_GB2312" w:cs="Times New Roman"/>
          <w:color w:val="auto"/>
          <w:spacing w:val="0"/>
          <w:w w:val="100"/>
          <w:sz w:val="32"/>
          <w:szCs w:val="32"/>
          <w:highlight w:val="none"/>
        </w:rPr>
        <w:t>审核。经确认后，根据上级要求报送申报资料到省级部门。</w:t>
      </w:r>
    </w:p>
    <w:p>
      <w:pPr>
        <w:spacing w:before="57" w:line="327" w:lineRule="auto"/>
        <w:ind w:left="20" w:right="111" w:firstLine="627"/>
        <w:rPr>
          <w:rFonts w:hint="default" w:ascii="Times New Roman" w:hAnsi="Times New Roman" w:eastAsia="仿宋_GB2312" w:cs="Times New Roman"/>
          <w:color w:val="auto"/>
          <w:spacing w:val="0"/>
          <w:w w:val="100"/>
          <w:sz w:val="32"/>
          <w:szCs w:val="32"/>
        </w:rPr>
      </w:pPr>
      <w:r>
        <w:rPr>
          <w:rFonts w:ascii="黑体" w:hAnsi="黑体" w:eastAsia="黑体" w:cs="黑体"/>
          <w:spacing w:val="7"/>
          <w:sz w:val="31"/>
          <w:szCs w:val="31"/>
        </w:rPr>
        <w:t>第六条</w:t>
      </w:r>
      <w:r>
        <w:rPr>
          <w:rFonts w:hint="eastAsia" w:ascii="黑体" w:hAnsi="黑体" w:eastAsia="黑体" w:cs="黑体"/>
          <w:spacing w:val="7"/>
          <w:sz w:val="31"/>
          <w:szCs w:val="31"/>
          <w:lang w:val="en-US" w:eastAsia="zh-CN"/>
        </w:rPr>
        <w:t xml:space="preserve">  </w:t>
      </w:r>
      <w:r>
        <w:rPr>
          <w:rFonts w:hint="default" w:ascii="Times New Roman" w:hAnsi="Times New Roman" w:eastAsia="仿宋_GB2312" w:cs="Times New Roman"/>
          <w:color w:val="auto"/>
          <w:spacing w:val="0"/>
          <w:w w:val="100"/>
          <w:sz w:val="32"/>
          <w:szCs w:val="32"/>
        </w:rPr>
        <w:t>资金拨付方式：县级财政负担的部分由县财政局安排资金到县大数据和金融发展中心，</w:t>
      </w:r>
      <w:r>
        <w:rPr>
          <w:rFonts w:hint="eastAsia" w:ascii="Times New Roman" w:hAnsi="Times New Roman" w:eastAsia="仿宋_GB2312" w:cs="Times New Roman"/>
          <w:color w:val="auto"/>
          <w:spacing w:val="0"/>
          <w:w w:val="100"/>
          <w:sz w:val="32"/>
          <w:szCs w:val="32"/>
          <w:lang w:eastAsia="zh-CN"/>
        </w:rPr>
        <w:t>再由</w:t>
      </w:r>
      <w:r>
        <w:rPr>
          <w:rFonts w:hint="default" w:ascii="Times New Roman" w:hAnsi="Times New Roman" w:eastAsia="仿宋_GB2312" w:cs="Times New Roman"/>
          <w:color w:val="auto"/>
          <w:spacing w:val="0"/>
          <w:w w:val="100"/>
          <w:sz w:val="32"/>
          <w:szCs w:val="32"/>
        </w:rPr>
        <w:t>县大数据和金融发展中心拨付</w:t>
      </w:r>
      <w:r>
        <w:rPr>
          <w:rFonts w:hint="default" w:ascii="Times New Roman" w:hAnsi="Times New Roman" w:eastAsia="仿宋_GB2312" w:cs="Times New Roman"/>
          <w:color w:val="auto"/>
          <w:spacing w:val="0"/>
          <w:w w:val="100"/>
          <w:sz w:val="32"/>
          <w:szCs w:val="32"/>
          <w:highlight w:val="none"/>
        </w:rPr>
        <w:t>给遂昌农商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w:t>
      </w:r>
      <w:r>
        <w:rPr>
          <w:rFonts w:hint="default" w:ascii="Times New Roman" w:hAnsi="Times New Roman" w:eastAsia="仿宋_GB2312" w:cs="Times New Roman"/>
          <w:color w:val="auto"/>
          <w:spacing w:val="0"/>
          <w:w w:val="100"/>
          <w:sz w:val="32"/>
          <w:szCs w:val="32"/>
        </w:rPr>
        <w:t>。省级财政负担的部分由省财政厅安排拨付。县级扶持资金可根据工作推进需要预拨资金，待省财政厅下达结算通知后再行清算。</w:t>
      </w:r>
    </w:p>
    <w:p>
      <w:pPr>
        <w:spacing w:before="52" w:line="323" w:lineRule="auto"/>
        <w:ind w:left="19" w:right="111" w:firstLine="628"/>
        <w:jc w:val="both"/>
        <w:rPr>
          <w:rFonts w:hint="default" w:ascii="Times New Roman" w:hAnsi="Times New Roman" w:eastAsia="仿宋_GB2312" w:cs="Times New Roman"/>
          <w:color w:val="auto"/>
          <w:spacing w:val="0"/>
          <w:w w:val="100"/>
          <w:sz w:val="32"/>
          <w:szCs w:val="32"/>
        </w:rPr>
      </w:pPr>
      <w:r>
        <w:rPr>
          <w:rFonts w:ascii="黑体" w:hAnsi="黑体" w:eastAsia="黑体" w:cs="黑体"/>
          <w:spacing w:val="19"/>
          <w:sz w:val="31"/>
          <w:szCs w:val="31"/>
        </w:rPr>
        <w:t>第七条</w:t>
      </w:r>
      <w:r>
        <w:rPr>
          <w:rFonts w:hint="eastAsia" w:ascii="黑体" w:hAnsi="黑体" w:eastAsia="黑体" w:cs="黑体"/>
          <w:spacing w:val="19"/>
          <w:sz w:val="31"/>
          <w:szCs w:val="31"/>
          <w:lang w:val="en-US" w:eastAsia="zh-CN"/>
        </w:rPr>
        <w:t xml:space="preserve">  </w:t>
      </w:r>
      <w:r>
        <w:rPr>
          <w:rFonts w:hint="default" w:ascii="Times New Roman" w:hAnsi="Times New Roman" w:eastAsia="仿宋_GB2312" w:cs="Times New Roman"/>
          <w:color w:val="auto"/>
          <w:spacing w:val="0"/>
          <w:w w:val="100"/>
          <w:sz w:val="32"/>
          <w:szCs w:val="32"/>
          <w:highlight w:val="none"/>
        </w:rPr>
        <w:t>遂昌农商</w:t>
      </w:r>
      <w:r>
        <w:rPr>
          <w:rFonts w:hint="eastAsia" w:ascii="Times New Roman" w:hAnsi="Times New Roman" w:eastAsia="仿宋_GB2312" w:cs="Times New Roman"/>
          <w:color w:val="auto"/>
          <w:spacing w:val="0"/>
          <w:w w:val="100"/>
          <w:sz w:val="32"/>
          <w:szCs w:val="32"/>
          <w:highlight w:val="none"/>
          <w:lang w:eastAsia="zh-CN"/>
        </w:rPr>
        <w:t>银</w:t>
      </w:r>
      <w:r>
        <w:rPr>
          <w:rFonts w:hint="default" w:ascii="Times New Roman" w:hAnsi="Times New Roman" w:eastAsia="仿宋_GB2312" w:cs="Times New Roman"/>
          <w:color w:val="auto"/>
          <w:spacing w:val="0"/>
          <w:w w:val="100"/>
          <w:sz w:val="32"/>
          <w:szCs w:val="32"/>
          <w:highlight w:val="none"/>
        </w:rPr>
        <w:t>行</w:t>
      </w:r>
      <w:r>
        <w:rPr>
          <w:rFonts w:hint="default" w:ascii="Times New Roman" w:hAnsi="Times New Roman" w:eastAsia="仿宋_GB2312" w:cs="Times New Roman"/>
          <w:color w:val="auto"/>
          <w:spacing w:val="0"/>
          <w:w w:val="100"/>
          <w:sz w:val="32"/>
          <w:szCs w:val="32"/>
        </w:rPr>
        <w:t>要严格按照规定进行贷款发放及贷款贴息申报，落实专人对上报清单进行初核，严禁超范围恶意申报及作假，一经发现取消申报资格。</w:t>
      </w:r>
    </w:p>
    <w:p>
      <w:pPr>
        <w:spacing w:before="55" w:line="318" w:lineRule="auto"/>
        <w:ind w:left="36" w:right="185" w:firstLine="611"/>
      </w:pPr>
      <w:r>
        <w:rPr>
          <w:rFonts w:ascii="黑体" w:hAnsi="黑体" w:eastAsia="黑体" w:cs="黑体"/>
          <w:spacing w:val="-3"/>
          <w:sz w:val="31"/>
          <w:szCs w:val="31"/>
        </w:rPr>
        <w:t>第八条</w:t>
      </w:r>
      <w:r>
        <w:rPr>
          <w:rFonts w:hint="eastAsia" w:ascii="黑体" w:hAnsi="黑体" w:eastAsia="黑体" w:cs="黑体"/>
          <w:spacing w:val="-3"/>
          <w:sz w:val="31"/>
          <w:szCs w:val="31"/>
          <w:lang w:val="en-US" w:eastAsia="zh-CN"/>
        </w:rPr>
        <w:t xml:space="preserve">  </w:t>
      </w:r>
      <w:r>
        <w:rPr>
          <w:rFonts w:hint="default" w:ascii="Times New Roman" w:hAnsi="Times New Roman" w:eastAsia="仿宋_GB2312" w:cs="Times New Roman"/>
          <w:color w:val="auto"/>
          <w:spacing w:val="0"/>
          <w:w w:val="100"/>
          <w:sz w:val="32"/>
          <w:szCs w:val="32"/>
        </w:rPr>
        <w:t>本《办法》自202</w:t>
      </w:r>
      <w:r>
        <w:rPr>
          <w:rFonts w:hint="eastAsia" w:ascii="Times New Roman" w:hAnsi="Times New Roman" w:eastAsia="仿宋_GB2312" w:cs="Times New Roman"/>
          <w:color w:val="auto"/>
          <w:spacing w:val="0"/>
          <w:w w:val="100"/>
          <w:sz w:val="32"/>
          <w:szCs w:val="32"/>
          <w:lang w:val="en-US" w:eastAsia="zh-CN"/>
        </w:rPr>
        <w:t>4</w:t>
      </w:r>
      <w:r>
        <w:rPr>
          <w:rFonts w:hint="default" w:ascii="Times New Roman" w:hAnsi="Times New Roman" w:eastAsia="仿宋_GB2312" w:cs="Times New Roman"/>
          <w:color w:val="auto"/>
          <w:spacing w:val="0"/>
          <w:w w:val="100"/>
          <w:sz w:val="32"/>
          <w:szCs w:val="32"/>
        </w:rPr>
        <w:t>年</w:t>
      </w:r>
      <w:r>
        <w:rPr>
          <w:rFonts w:hint="eastAsia" w:ascii="Times New Roman" w:hAnsi="Times New Roman" w:eastAsia="仿宋_GB2312" w:cs="Times New Roman"/>
          <w:color w:val="auto"/>
          <w:spacing w:val="0"/>
          <w:w w:val="100"/>
          <w:sz w:val="32"/>
          <w:szCs w:val="32"/>
          <w:lang w:val="en-US" w:eastAsia="zh-CN"/>
        </w:rPr>
        <w:t>**</w:t>
      </w:r>
      <w:r>
        <w:rPr>
          <w:rFonts w:hint="default" w:ascii="Times New Roman" w:hAnsi="Times New Roman" w:eastAsia="仿宋_GB2312" w:cs="Times New Roman"/>
          <w:color w:val="auto"/>
          <w:spacing w:val="0"/>
          <w:w w:val="100"/>
          <w:sz w:val="32"/>
          <w:szCs w:val="32"/>
        </w:rPr>
        <w:t>月</w:t>
      </w:r>
      <w:r>
        <w:rPr>
          <w:rFonts w:hint="eastAsia" w:ascii="Times New Roman" w:hAnsi="Times New Roman" w:eastAsia="仿宋_GB2312" w:cs="Times New Roman"/>
          <w:color w:val="auto"/>
          <w:spacing w:val="0"/>
          <w:w w:val="100"/>
          <w:sz w:val="32"/>
          <w:szCs w:val="32"/>
          <w:lang w:val="en-US" w:eastAsia="zh-CN"/>
        </w:rPr>
        <w:t>**</w:t>
      </w:r>
      <w:r>
        <w:rPr>
          <w:rFonts w:hint="default" w:ascii="Times New Roman" w:hAnsi="Times New Roman" w:eastAsia="仿宋_GB2312" w:cs="Times New Roman"/>
          <w:color w:val="auto"/>
          <w:spacing w:val="0"/>
          <w:w w:val="100"/>
          <w:sz w:val="32"/>
          <w:szCs w:val="32"/>
        </w:rPr>
        <w:t>日起施行。</w:t>
      </w:r>
    </w:p>
    <w:p>
      <w:pPr>
        <w:spacing w:before="7"/>
      </w:pPr>
      <w:r>
        <w:rPr>
          <w:rFonts w:hint="eastAsia" w:eastAsia="宋体"/>
          <w:lang w:val="en-US" w:eastAsia="zh-CN"/>
        </w:rPr>
        <w:t xml:space="preserve">  </w:t>
      </w:r>
    </w:p>
    <w:sectPr>
      <w:footerReference r:id="rId3" w:type="default"/>
      <w:pgSz w:w="11906" w:h="16838"/>
      <w:pgMar w:top="1431" w:right="1416" w:bottom="1284" w:left="1473" w:header="0" w:footer="111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6" w:lineRule="auto"/>
      <w:ind w:left="8013"/>
      <w:rPr>
        <w:rFonts w:ascii="仿宋" w:hAnsi="仿宋" w:eastAsia="仿宋" w:cs="仿宋"/>
        <w:sz w:val="17"/>
        <w:szCs w:val="17"/>
      </w:rPr>
    </w:pPr>
    <w:r>
      <w:rPr>
        <w:rFonts w:ascii="仿宋" w:hAnsi="仿宋" w:eastAsia="仿宋" w:cs="仿宋"/>
        <w:spacing w:val="2"/>
        <w:sz w:val="17"/>
        <w:szCs w:val="17"/>
      </w:rPr>
      <w:t>—</w:t>
    </w:r>
    <w:r>
      <w:rPr>
        <w:rFonts w:ascii="Times New Roman" w:hAnsi="Times New Roman" w:eastAsia="Times New Roman" w:cs="Times New Roman"/>
        <w:spacing w:val="2"/>
        <w:sz w:val="17"/>
        <w:szCs w:val="17"/>
      </w:rPr>
      <w:t>3</w:t>
    </w:r>
    <w:r>
      <w:rPr>
        <w:rFonts w:ascii="仿宋" w:hAnsi="仿宋" w:eastAsia="仿宋" w:cs="仿宋"/>
        <w:spacing w:val="2"/>
        <w:sz w:val="17"/>
        <w:szCs w:val="17"/>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documentProtection w:enforcement="0"/>
  <w:characterSpacingControl w:val="doNotCompress"/>
  <w:compat>
    <w:spaceForUL/>
    <w:ulTrailSpace/>
    <w:useFELayout/>
    <w:compatSetting w:name="compatibilityMode" w:uri="http://schemas.microsoft.com/office/word" w:val="14"/>
  </w:compat>
  <w:docVars>
    <w:docVar w:name="commondata" w:val="eyJoZGlkIjoiYjk5ODM0YmMxOWJiYWQyNDU4MGIzYWRmYTA0ZmI5NDcifQ=="/>
  </w:docVars>
  <w:rsids>
    <w:rsidRoot w:val="00000000"/>
    <w:rsid w:val="0478191B"/>
    <w:rsid w:val="18AC63B8"/>
    <w:rsid w:val="1953397D"/>
    <w:rsid w:val="3D4F5C0C"/>
    <w:rsid w:val="51AA4FEE"/>
    <w:rsid w:val="547F07CF"/>
    <w:rsid w:val="57163213"/>
    <w:rsid w:val="6C0B57BC"/>
    <w:rsid w:val="74003B46"/>
    <w:rsid w:val="FDFB26D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Arial" w:hAnsi="Arial" w:eastAsia="Arial" w:cs="Arial"/>
      <w:sz w:val="21"/>
      <w:szCs w:val="21"/>
      <w:lang w:val="en-US" w:eastAsia="en-US" w:bidi="ar-SA"/>
    </w:rPr>
  </w:style>
  <w:style w:type="paragraph" w:styleId="3">
    <w:name w:val="Body Text Indent"/>
    <w:basedOn w:val="1"/>
    <w:qFormat/>
    <w:uiPriority w:val="0"/>
    <w:pPr>
      <w:spacing w:after="120"/>
      <w:ind w:left="420" w:leftChars="200"/>
    </w:pPr>
  </w:style>
  <w:style w:type="paragraph" w:styleId="4">
    <w:name w:val="Body Text First Indent"/>
    <w:basedOn w:val="2"/>
    <w:next w:val="1"/>
    <w:qFormat/>
    <w:uiPriority w:val="0"/>
    <w:pPr>
      <w:topLinePunct/>
      <w:adjustRightInd w:val="0"/>
      <w:snapToGrid w:val="0"/>
      <w:spacing w:before="5" w:line="360" w:lineRule="auto"/>
      <w:ind w:left="108" w:right="266" w:firstLine="100" w:firstLineChars="100"/>
    </w:pPr>
    <w:rPr>
      <w:rFonts w:eastAsia="方正仿宋简体"/>
      <w:snapToGrid w:val="0"/>
      <w:kern w:val="32"/>
      <w:sz w:val="32"/>
      <w:szCs w:val="32"/>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1028</Words>
  <Characters>1074</Characters>
  <TotalTime>1</TotalTime>
  <ScaleCrop>false</ScaleCrop>
  <LinksUpToDate>false</LinksUpToDate>
  <CharactersWithSpaces>1148</CharactersWithSpaces>
  <Application>WPS Office_11.8.2.8959_F1E327BC-269C-435d-A152-05C5408002CA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2023-09-26T00:03:00Z</dcterms:created>
  <dc:creator>RJeGov</dc:creator>
  <cp:lastModifiedBy>肖屹浒</cp:lastModifiedBy>
  <dcterms:modified xsi:type="dcterms:W3CDTF">2024-09-06T09:05:59Z</dcterms:modified>
  <dc:title>正文文件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2024-06-19T08:23:59Z</vt:filetime>
  </property>
  <property fmtid="{D5CDD505-2E9C-101B-9397-08002B2CF9AE}" pid="4" name="KSOProductBuildVer">
    <vt:lpwstr>2052-11.8.2.8959</vt:lpwstr>
  </property>
  <property fmtid="{D5CDD505-2E9C-101B-9397-08002B2CF9AE}" pid="5" name="ICV">
    <vt:lpwstr>2D864936EEA9447F9BB7E4E477D1AE81_12</vt:lpwstr>
  </property>
</Properties>
</file>