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3F169">
      <w:pPr>
        <w:spacing w:line="580" w:lineRule="exact"/>
        <w:jc w:val="center"/>
        <w:rPr>
          <w:rFonts w:hint="eastAsia" w:ascii="黑体" w:hAnsi="黑体" w:eastAsia="黑体" w:cs="黑体"/>
          <w:b/>
          <w:bCs/>
          <w:kern w:val="44"/>
          <w:sz w:val="52"/>
          <w:szCs w:val="52"/>
        </w:rPr>
      </w:pPr>
      <w:r>
        <w:rPr>
          <w:rFonts w:hint="eastAsia" w:ascii="黑体" w:hAnsi="黑体" w:eastAsia="黑体" w:cs="黑体"/>
          <w:b/>
          <w:bCs/>
          <w:kern w:val="44"/>
          <w:sz w:val="52"/>
          <w:szCs w:val="52"/>
        </w:rPr>
        <w:t xml:space="preserve"> </w:t>
      </w:r>
    </w:p>
    <w:p w14:paraId="3BD1071C">
      <w:pPr>
        <w:spacing w:line="580" w:lineRule="exact"/>
        <w:jc w:val="center"/>
        <w:rPr>
          <w:rFonts w:hint="eastAsia" w:ascii="黑体" w:hAnsi="黑体" w:eastAsia="黑体" w:cs="黑体"/>
          <w:b/>
          <w:bCs/>
          <w:kern w:val="44"/>
          <w:sz w:val="32"/>
          <w:szCs w:val="32"/>
        </w:rPr>
      </w:pPr>
    </w:p>
    <w:p w14:paraId="5D0A9F54">
      <w:pPr>
        <w:spacing w:line="580" w:lineRule="exact"/>
        <w:jc w:val="center"/>
        <w:rPr>
          <w:rFonts w:hint="eastAsia" w:ascii="黑体" w:hAnsi="黑体" w:eastAsia="黑体" w:cs="黑体"/>
          <w:b/>
          <w:bCs/>
          <w:kern w:val="44"/>
          <w:sz w:val="52"/>
          <w:szCs w:val="52"/>
        </w:rPr>
      </w:pPr>
    </w:p>
    <w:p w14:paraId="7B8F3167">
      <w:pPr>
        <w:spacing w:line="580" w:lineRule="exact"/>
        <w:jc w:val="center"/>
        <w:rPr>
          <w:rFonts w:hint="eastAsia" w:ascii="黑体" w:hAnsi="黑体" w:eastAsia="黑体" w:cs="黑体"/>
          <w:b/>
          <w:bCs/>
          <w:kern w:val="44"/>
          <w:sz w:val="52"/>
          <w:szCs w:val="52"/>
        </w:rPr>
      </w:pPr>
    </w:p>
    <w:p w14:paraId="3F673F18">
      <w:pPr>
        <w:spacing w:line="580" w:lineRule="exact"/>
        <w:jc w:val="center"/>
        <w:rPr>
          <w:rFonts w:hint="eastAsia" w:ascii="黑体" w:hAnsi="黑体" w:eastAsia="黑体" w:cs="黑体"/>
          <w:b/>
          <w:bCs/>
          <w:kern w:val="44"/>
          <w:sz w:val="52"/>
          <w:szCs w:val="52"/>
        </w:rPr>
      </w:pPr>
    </w:p>
    <w:p w14:paraId="76EC4D2A">
      <w:pPr>
        <w:spacing w:line="580" w:lineRule="exact"/>
        <w:jc w:val="center"/>
        <w:rPr>
          <w:rFonts w:hint="eastAsia" w:ascii="黑体" w:hAnsi="黑体" w:eastAsia="黑体" w:cs="黑体"/>
          <w:b/>
          <w:bCs/>
          <w:kern w:val="44"/>
          <w:sz w:val="52"/>
          <w:szCs w:val="52"/>
        </w:rPr>
      </w:pPr>
      <w:r>
        <w:rPr>
          <w:rFonts w:ascii="黑体" w:hAnsi="黑体" w:eastAsia="黑体" w:cs="黑体"/>
          <w:b/>
          <w:bCs/>
          <w:kern w:val="44"/>
          <w:sz w:val="52"/>
          <w:szCs w:val="52"/>
        </w:rPr>
        <w:t>遂昌县矿山安全</w:t>
      </w:r>
      <w:r>
        <w:rPr>
          <w:rFonts w:hint="eastAsia" w:ascii="黑体" w:hAnsi="黑体" w:eastAsia="黑体" w:cs="黑体"/>
          <w:b/>
          <w:bCs/>
          <w:kern w:val="44"/>
          <w:sz w:val="52"/>
          <w:szCs w:val="52"/>
        </w:rPr>
        <w:t>发展</w:t>
      </w:r>
      <w:r>
        <w:rPr>
          <w:rFonts w:ascii="黑体" w:hAnsi="黑体" w:eastAsia="黑体" w:cs="黑体"/>
          <w:b/>
          <w:bCs/>
          <w:kern w:val="44"/>
          <w:sz w:val="52"/>
          <w:szCs w:val="52"/>
        </w:rPr>
        <w:t>规划</w:t>
      </w:r>
    </w:p>
    <w:p w14:paraId="1270F98D">
      <w:pPr>
        <w:spacing w:line="580" w:lineRule="exact"/>
        <w:ind w:firstLine="199" w:firstLineChars="55"/>
        <w:jc w:val="center"/>
        <w:rPr>
          <w:rFonts w:eastAsia="楷体_GB2312"/>
          <w:b/>
          <w:kern w:val="44"/>
          <w:sz w:val="36"/>
          <w:szCs w:val="36"/>
        </w:rPr>
      </w:pPr>
      <w:bookmarkStart w:id="46" w:name="_GoBack"/>
      <w:bookmarkEnd w:id="46"/>
    </w:p>
    <w:p w14:paraId="1322486D">
      <w:pPr>
        <w:spacing w:line="580" w:lineRule="exact"/>
        <w:ind w:firstLine="199" w:firstLineChars="55"/>
        <w:jc w:val="center"/>
        <w:rPr>
          <w:rFonts w:eastAsia="楷体_GB2312"/>
          <w:b/>
          <w:kern w:val="44"/>
          <w:sz w:val="36"/>
          <w:szCs w:val="36"/>
        </w:rPr>
      </w:pPr>
    </w:p>
    <w:p w14:paraId="25414BE6">
      <w:pPr>
        <w:spacing w:line="580" w:lineRule="exact"/>
        <w:ind w:firstLine="199" w:firstLineChars="55"/>
        <w:jc w:val="center"/>
        <w:rPr>
          <w:rFonts w:eastAsia="楷体_GB2312"/>
          <w:b/>
          <w:kern w:val="44"/>
          <w:sz w:val="36"/>
          <w:szCs w:val="36"/>
        </w:rPr>
      </w:pPr>
    </w:p>
    <w:p w14:paraId="55098946">
      <w:pPr>
        <w:spacing w:line="580" w:lineRule="exact"/>
        <w:ind w:firstLine="199" w:firstLineChars="55"/>
        <w:jc w:val="center"/>
        <w:rPr>
          <w:rFonts w:eastAsia="楷体_GB2312"/>
          <w:b/>
          <w:kern w:val="44"/>
          <w:sz w:val="36"/>
          <w:szCs w:val="36"/>
        </w:rPr>
      </w:pPr>
    </w:p>
    <w:p w14:paraId="69E430A6">
      <w:pPr>
        <w:spacing w:line="580" w:lineRule="exact"/>
        <w:ind w:firstLine="199" w:firstLineChars="55"/>
        <w:jc w:val="center"/>
        <w:rPr>
          <w:rFonts w:eastAsia="楷体_GB2312"/>
          <w:b/>
          <w:kern w:val="44"/>
          <w:sz w:val="36"/>
          <w:szCs w:val="36"/>
        </w:rPr>
      </w:pPr>
    </w:p>
    <w:p w14:paraId="722B318F">
      <w:pPr>
        <w:spacing w:line="580" w:lineRule="exact"/>
        <w:ind w:firstLine="199" w:firstLineChars="55"/>
        <w:jc w:val="center"/>
        <w:rPr>
          <w:rFonts w:eastAsia="楷体_GB2312"/>
          <w:b/>
          <w:kern w:val="44"/>
          <w:sz w:val="36"/>
          <w:szCs w:val="36"/>
        </w:rPr>
      </w:pPr>
    </w:p>
    <w:p w14:paraId="7E19324E">
      <w:pPr>
        <w:spacing w:line="580" w:lineRule="exact"/>
        <w:ind w:firstLine="199" w:firstLineChars="55"/>
        <w:jc w:val="center"/>
        <w:rPr>
          <w:rFonts w:eastAsia="楷体_GB2312"/>
          <w:b/>
          <w:kern w:val="44"/>
          <w:sz w:val="36"/>
          <w:szCs w:val="36"/>
        </w:rPr>
      </w:pPr>
    </w:p>
    <w:p w14:paraId="27ABE82D">
      <w:pPr>
        <w:spacing w:line="580" w:lineRule="exact"/>
        <w:ind w:firstLine="199" w:firstLineChars="55"/>
        <w:jc w:val="center"/>
        <w:rPr>
          <w:rFonts w:eastAsia="楷体_GB2312"/>
          <w:b/>
          <w:kern w:val="44"/>
          <w:sz w:val="36"/>
          <w:szCs w:val="36"/>
        </w:rPr>
      </w:pPr>
    </w:p>
    <w:p w14:paraId="08F6DA59">
      <w:pPr>
        <w:spacing w:line="580" w:lineRule="exact"/>
        <w:ind w:firstLine="199" w:firstLineChars="55"/>
        <w:jc w:val="center"/>
        <w:rPr>
          <w:rFonts w:eastAsia="楷体_GB2312"/>
          <w:b/>
          <w:kern w:val="44"/>
          <w:sz w:val="36"/>
          <w:szCs w:val="36"/>
        </w:rPr>
      </w:pPr>
    </w:p>
    <w:p w14:paraId="01232D33">
      <w:pPr>
        <w:spacing w:line="580" w:lineRule="exact"/>
        <w:ind w:firstLine="198" w:firstLineChars="55"/>
        <w:jc w:val="center"/>
        <w:rPr>
          <w:rFonts w:eastAsia="楷体_GB2312"/>
          <w:bCs/>
          <w:kern w:val="44"/>
          <w:sz w:val="36"/>
          <w:szCs w:val="36"/>
        </w:rPr>
        <w:sectPr>
          <w:footerReference r:id="rId5" w:type="default"/>
          <w:pgSz w:w="11906" w:h="16838"/>
          <w:pgMar w:top="1440" w:right="1800" w:bottom="1440" w:left="1800" w:header="851" w:footer="992" w:gutter="0"/>
          <w:cols w:space="425" w:num="1"/>
          <w:docGrid w:type="lines" w:linePitch="312" w:charSpace="0"/>
        </w:sectPr>
      </w:pPr>
      <w:r>
        <w:rPr>
          <w:rFonts w:hint="eastAsia" w:eastAsia="楷体_GB2312"/>
          <w:bCs/>
          <w:kern w:val="44"/>
          <w:sz w:val="36"/>
          <w:szCs w:val="36"/>
        </w:rPr>
        <w:t>二</w:t>
      </w:r>
      <w:r>
        <w:rPr>
          <w:rFonts w:hint="eastAsia" w:ascii="微软雅黑" w:hAnsi="微软雅黑" w:eastAsia="微软雅黑" w:cs="微软雅黑"/>
          <w:bCs/>
          <w:kern w:val="44"/>
          <w:sz w:val="36"/>
          <w:szCs w:val="36"/>
        </w:rPr>
        <w:t>〇</w:t>
      </w:r>
      <w:r>
        <w:rPr>
          <w:rFonts w:hint="eastAsia" w:eastAsia="楷体_GB2312"/>
          <w:bCs/>
          <w:kern w:val="44"/>
          <w:sz w:val="36"/>
          <w:szCs w:val="36"/>
        </w:rPr>
        <w:t>二五年十二月</w:t>
      </w:r>
    </w:p>
    <w:sdt>
      <w:sdtPr>
        <w:rPr>
          <w:rFonts w:ascii="Times New Roman" w:hAnsi="Times New Roman" w:cs="Times New Roman" w:eastAsiaTheme="minorEastAsia"/>
          <w:color w:val="auto"/>
          <w:sz w:val="20"/>
          <w:szCs w:val="20"/>
          <w:lang w:val="zh-CN"/>
        </w:rPr>
        <w:id w:val="52350232"/>
        <w:docPartObj>
          <w:docPartGallery w:val="Table of Contents"/>
          <w:docPartUnique/>
        </w:docPartObj>
      </w:sdtPr>
      <w:sdtEndPr>
        <w:rPr>
          <w:rFonts w:ascii="Times New Roman" w:hAnsi="Times New Roman" w:cs="Times New Roman" w:eastAsiaTheme="minorEastAsia"/>
          <w:b/>
          <w:bCs/>
          <w:color w:val="auto"/>
          <w:sz w:val="20"/>
          <w:szCs w:val="20"/>
          <w:lang w:val="zh-CN"/>
        </w:rPr>
      </w:sdtEndPr>
      <w:sdtContent>
        <w:p w14:paraId="3D89BF17">
          <w:pPr>
            <w:pStyle w:val="43"/>
            <w:jc w:val="center"/>
            <w:rPr>
              <w:rFonts w:hint="eastAsia" w:ascii="仿宋_GB2312" w:hAnsi="黑体" w:eastAsia="仿宋_GB2312"/>
              <w:b/>
              <w:bCs/>
              <w:color w:val="auto"/>
            </w:rPr>
          </w:pPr>
          <w:r>
            <w:rPr>
              <w:rFonts w:hint="eastAsia" w:ascii="仿宋_GB2312" w:hAnsi="黑体" w:eastAsia="仿宋_GB2312"/>
              <w:b/>
              <w:bCs/>
              <w:color w:val="auto"/>
              <w:lang w:val="zh-CN"/>
            </w:rPr>
            <w:t>目 录</w:t>
          </w:r>
        </w:p>
        <w:p w14:paraId="0866CF51">
          <w:pPr>
            <w:pStyle w:val="14"/>
            <w:tabs>
              <w:tab w:val="right" w:leader="dot" w:pos="8296"/>
            </w:tabs>
            <w:rPr>
              <w:rFonts w:hint="eastAsia" w:asciiTheme="minorHAnsi" w:hAnsiTheme="minorHAnsi" w:cstheme="minorBidi"/>
              <w:kern w:val="2"/>
              <w:sz w:val="22"/>
              <w:szCs w:val="24"/>
              <w14:ligatures w14:val="standardContextual"/>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"_Toc218089284" </w:instrText>
          </w:r>
          <w:r>
            <w:fldChar w:fldCharType="separate"/>
          </w:r>
          <w:r>
            <w:rPr>
              <w:rStyle w:val="22"/>
              <w:rFonts w:hint="eastAsia" w:eastAsia="黑体"/>
              <w:color w:val="auto"/>
              <w:kern w:val="44"/>
            </w:rPr>
            <w:t>一、现状与形势</w:t>
          </w:r>
          <w:r>
            <w:rPr>
              <w:rFonts w:hint="eastAsia"/>
            </w:rPr>
            <w:tab/>
          </w:r>
          <w:r>
            <w:rPr>
              <w:rFonts w:hint="eastAsia"/>
            </w:rPr>
            <w:fldChar w:fldCharType="begin"/>
          </w:r>
          <w:r>
            <w:rPr>
              <w:rFonts w:hint="eastAsia"/>
            </w:rPr>
            <w:instrText xml:space="preserve"> </w:instrText>
          </w:r>
          <w:r>
            <w:instrText xml:space="preserve">PAGEREF _Toc218089284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B2C0361">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"_Toc218089285" </w:instrText>
          </w:r>
          <w:r>
            <w:fldChar w:fldCharType="separate"/>
          </w:r>
          <w:r>
            <w:rPr>
              <w:rStyle w:val="22"/>
              <w:rFonts w:hint="eastAsia" w:eastAsia="楷体_GB2312"/>
              <w:b/>
              <w:bCs/>
              <w:color w:val="auto"/>
            </w:rPr>
            <w:t>（一）取得的成效</w:t>
          </w:r>
          <w:r>
            <w:rPr>
              <w:rFonts w:hint="eastAsia"/>
            </w:rPr>
            <w:tab/>
          </w:r>
          <w:r>
            <w:rPr>
              <w:rFonts w:hint="eastAsia"/>
            </w:rPr>
            <w:fldChar w:fldCharType="begin"/>
          </w:r>
          <w:r>
            <w:rPr>
              <w:rFonts w:hint="eastAsia"/>
            </w:rPr>
            <w:instrText xml:space="preserve"> </w:instrText>
          </w:r>
          <w:r>
            <w:instrText xml:space="preserve">PAGEREF _Toc218089285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128A9FD8">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"_Toc218089286" </w:instrText>
          </w:r>
          <w:r>
            <w:fldChar w:fldCharType="separate"/>
          </w:r>
          <w:r>
            <w:rPr>
              <w:rStyle w:val="22"/>
              <w:rFonts w:hint="eastAsia" w:eastAsia="楷体_GB2312"/>
              <w:b/>
              <w:bCs/>
              <w:color w:val="auto"/>
            </w:rPr>
            <w:t>（二）面临的挑战</w:t>
          </w:r>
          <w:r>
            <w:rPr>
              <w:rFonts w:hint="eastAsia"/>
            </w:rPr>
            <w:tab/>
          </w:r>
          <w:r>
            <w:rPr>
              <w:rFonts w:hint="eastAsia"/>
            </w:rPr>
            <w:fldChar w:fldCharType="begin"/>
          </w:r>
          <w:r>
            <w:rPr>
              <w:rFonts w:hint="eastAsia"/>
            </w:rPr>
            <w:instrText xml:space="preserve"> </w:instrText>
          </w:r>
          <w:r>
            <w:instrText xml:space="preserve">PAGEREF _Toc218089286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6B22E1D4">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"_Toc218089287" </w:instrText>
          </w:r>
          <w:r>
            <w:fldChar w:fldCharType="separate"/>
          </w:r>
          <w:r>
            <w:rPr>
              <w:rStyle w:val="22"/>
              <w:rFonts w:hint="eastAsia" w:eastAsia="楷体_GB2312"/>
              <w:b/>
              <w:bCs/>
              <w:color w:val="auto"/>
            </w:rPr>
            <w:t>（三）发展的机遇</w:t>
          </w:r>
          <w:r>
            <w:rPr>
              <w:rFonts w:hint="eastAsia"/>
            </w:rPr>
            <w:tab/>
          </w:r>
          <w:r>
            <w:rPr>
              <w:rFonts w:hint="eastAsia"/>
            </w:rPr>
            <w:fldChar w:fldCharType="begin"/>
          </w:r>
          <w:r>
            <w:rPr>
              <w:rFonts w:hint="eastAsia"/>
            </w:rPr>
            <w:instrText xml:space="preserve"> </w:instrText>
          </w:r>
          <w:r>
            <w:instrText xml:space="preserve">PAGEREF _Toc218089287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343E8358">
          <w:pPr>
            <w:pStyle w:val="14"/>
            <w:tabs>
              <w:tab w:val="right" w:leader="dot" w:pos="8296"/>
            </w:tabs>
            <w:rPr>
              <w:rFonts w:hint="eastAsia" w:asciiTheme="minorHAnsi" w:hAnsiTheme="minorHAnsi" w:cstheme="minorBidi"/>
              <w:kern w:val="2"/>
              <w:sz w:val="22"/>
              <w:szCs w:val="24"/>
              <w14:ligatures w14:val="standardContextual"/>
            </w:rPr>
          </w:pPr>
          <w:r>
            <w:fldChar w:fldCharType="begin"/>
          </w:r>
          <w:r>
            <w:instrText xml:space="preserve"> HYPERLINK \l "_Toc218089288" </w:instrText>
          </w:r>
          <w:r>
            <w:fldChar w:fldCharType="separate"/>
          </w:r>
          <w:r>
            <w:rPr>
              <w:rStyle w:val="22"/>
              <w:rFonts w:hint="eastAsia" w:eastAsia="黑体"/>
              <w:color w:val="auto"/>
              <w:kern w:val="44"/>
            </w:rPr>
            <w:t>二、指导思想和规划目标</w:t>
          </w:r>
          <w:r>
            <w:rPr>
              <w:rFonts w:hint="eastAsia"/>
            </w:rPr>
            <w:tab/>
          </w:r>
          <w:r>
            <w:rPr>
              <w:rFonts w:hint="eastAsia"/>
            </w:rPr>
            <w:fldChar w:fldCharType="begin"/>
          </w:r>
          <w:r>
            <w:rPr>
              <w:rFonts w:hint="eastAsia"/>
            </w:rPr>
            <w:instrText xml:space="preserve"> </w:instrText>
          </w:r>
          <w:r>
            <w:instrText xml:space="preserve">PAGEREF _Toc218089288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5D418E39">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"_Toc218089289" </w:instrText>
          </w:r>
          <w:r>
            <w:fldChar w:fldCharType="separate"/>
          </w:r>
          <w:r>
            <w:rPr>
              <w:rStyle w:val="22"/>
              <w:rFonts w:hint="eastAsia" w:eastAsia="楷体_GB2312"/>
              <w:b/>
              <w:bCs/>
              <w:color w:val="auto"/>
            </w:rPr>
            <w:t>（一）指导思想</w:t>
          </w:r>
          <w:r>
            <w:rPr>
              <w:rFonts w:hint="eastAsia"/>
            </w:rPr>
            <w:tab/>
          </w:r>
          <w:r>
            <w:rPr>
              <w:rFonts w:hint="eastAsia"/>
            </w:rPr>
            <w:fldChar w:fldCharType="begin"/>
          </w:r>
          <w:r>
            <w:rPr>
              <w:rFonts w:hint="eastAsia"/>
            </w:rPr>
            <w:instrText xml:space="preserve"> </w:instrText>
          </w:r>
          <w:r>
            <w:instrText xml:space="preserve">PAGEREF _Toc218089289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36FA16F2">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"_Toc218089290" </w:instrText>
          </w:r>
          <w:r>
            <w:fldChar w:fldCharType="separate"/>
          </w:r>
          <w:r>
            <w:rPr>
              <w:rStyle w:val="22"/>
              <w:rFonts w:hint="eastAsia" w:eastAsia="楷体_GB2312"/>
              <w:b/>
              <w:bCs/>
              <w:color w:val="auto"/>
            </w:rPr>
            <w:t>（二）基本原则</w:t>
          </w:r>
          <w:r>
            <w:rPr>
              <w:rFonts w:hint="eastAsia"/>
            </w:rPr>
            <w:tab/>
          </w:r>
          <w:r>
            <w:rPr>
              <w:rFonts w:hint="eastAsia"/>
            </w:rPr>
            <w:fldChar w:fldCharType="begin"/>
          </w:r>
          <w:r>
            <w:rPr>
              <w:rFonts w:hint="eastAsia"/>
            </w:rPr>
            <w:instrText xml:space="preserve"> </w:instrText>
          </w:r>
          <w:r>
            <w:instrText xml:space="preserve">PAGEREF _Toc218089290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334F0D85">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"_Toc218089291" </w:instrText>
          </w:r>
          <w:r>
            <w:fldChar w:fldCharType="separate"/>
          </w:r>
          <w:r>
            <w:rPr>
              <w:rStyle w:val="22"/>
              <w:rFonts w:hint="eastAsia" w:eastAsia="楷体_GB2312"/>
              <w:b/>
              <w:bCs/>
              <w:color w:val="auto"/>
            </w:rPr>
            <w:t>（三）规划目标</w:t>
          </w:r>
          <w:r>
            <w:rPr>
              <w:rFonts w:hint="eastAsia"/>
            </w:rPr>
            <w:tab/>
          </w:r>
          <w:r>
            <w:rPr>
              <w:rFonts w:hint="eastAsia"/>
            </w:rPr>
            <w:fldChar w:fldCharType="begin"/>
          </w:r>
          <w:r>
            <w:rPr>
              <w:rFonts w:hint="eastAsia"/>
            </w:rPr>
            <w:instrText xml:space="preserve"> </w:instrText>
          </w:r>
          <w:r>
            <w:instrText xml:space="preserve">PAGEREF _Toc218089291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7AC6655B">
          <w:pPr>
            <w:pStyle w:val="14"/>
            <w:tabs>
              <w:tab w:val="right" w:leader="dot" w:pos="8296"/>
            </w:tabs>
            <w:rPr>
              <w:rFonts w:hint="eastAsia" w:asciiTheme="minorHAnsi" w:hAnsiTheme="minorHAnsi" w:cstheme="minorBidi"/>
              <w:kern w:val="2"/>
              <w:sz w:val="22"/>
              <w:szCs w:val="24"/>
              <w14:ligatures w14:val="standardContextual"/>
            </w:rPr>
          </w:pPr>
          <w:r>
            <w:fldChar w:fldCharType="begin"/>
          </w:r>
          <w:r>
            <w:instrText xml:space="preserve"> HYPERLINK \l "_Toc218089292" </w:instrText>
          </w:r>
          <w:r>
            <w:fldChar w:fldCharType="separate"/>
          </w:r>
          <w:r>
            <w:rPr>
              <w:rStyle w:val="22"/>
              <w:rFonts w:hint="eastAsia" w:eastAsia="黑体"/>
              <w:color w:val="auto"/>
              <w:kern w:val="44"/>
            </w:rPr>
            <w:t>三、重点任务</w:t>
          </w:r>
          <w:r>
            <w:rPr>
              <w:rFonts w:hint="eastAsia"/>
            </w:rPr>
            <w:tab/>
          </w:r>
          <w:r>
            <w:rPr>
              <w:rFonts w:hint="eastAsia"/>
            </w:rPr>
            <w:fldChar w:fldCharType="begin"/>
          </w:r>
          <w:r>
            <w:rPr>
              <w:rFonts w:hint="eastAsia"/>
            </w:rPr>
            <w:instrText xml:space="preserve"> </w:instrText>
          </w:r>
          <w:r>
            <w:instrText xml:space="preserve">PAGEREF _Toc218089292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82B3D2F">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"_Toc218089293" </w:instrText>
          </w:r>
          <w:r>
            <w:fldChar w:fldCharType="separate"/>
          </w:r>
          <w:r>
            <w:rPr>
              <w:rStyle w:val="22"/>
              <w:rFonts w:hint="eastAsia" w:eastAsia="楷体_GB2312"/>
              <w:b/>
              <w:bCs/>
              <w:color w:val="auto"/>
            </w:rPr>
            <w:t>（一）优化产业结构，筑牢源头治理安全防线</w:t>
          </w:r>
          <w:r>
            <w:rPr>
              <w:rFonts w:hint="eastAsia"/>
            </w:rPr>
            <w:tab/>
          </w:r>
          <w:r>
            <w:rPr>
              <w:rFonts w:hint="eastAsia"/>
            </w:rPr>
            <w:fldChar w:fldCharType="begin"/>
          </w:r>
          <w:r>
            <w:rPr>
              <w:rFonts w:hint="eastAsia"/>
            </w:rPr>
            <w:instrText xml:space="preserve"> </w:instrText>
          </w:r>
          <w:r>
            <w:instrText xml:space="preserve">PAGEREF _Toc218089293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1DD707EC">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"_Toc218089294" </w:instrText>
          </w:r>
          <w:r>
            <w:fldChar w:fldCharType="separate"/>
          </w:r>
          <w:r>
            <w:rPr>
              <w:rStyle w:val="22"/>
              <w:rFonts w:hint="eastAsia" w:eastAsia="楷体_GB2312"/>
              <w:b/>
              <w:bCs/>
              <w:color w:val="auto"/>
            </w:rPr>
            <w:t>（二）压实责任链条，提升依法治安管控效能</w:t>
          </w:r>
          <w:r>
            <w:rPr>
              <w:rFonts w:hint="eastAsia"/>
            </w:rPr>
            <w:tab/>
          </w:r>
          <w:r>
            <w:rPr>
              <w:rFonts w:hint="eastAsia"/>
            </w:rPr>
            <w:fldChar w:fldCharType="begin"/>
          </w:r>
          <w:r>
            <w:rPr>
              <w:rFonts w:hint="eastAsia"/>
            </w:rPr>
            <w:instrText xml:space="preserve"> </w:instrText>
          </w:r>
          <w:r>
            <w:instrText xml:space="preserve">PAGEREF _Toc218089294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5D57A606">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"_Toc218089295" </w:instrText>
          </w:r>
          <w:r>
            <w:fldChar w:fldCharType="separate"/>
          </w:r>
          <w:r>
            <w:rPr>
              <w:rStyle w:val="22"/>
              <w:rFonts w:hint="eastAsia" w:eastAsia="楷体_GB2312"/>
              <w:b/>
              <w:bCs/>
              <w:color w:val="auto"/>
            </w:rPr>
            <w:t>（三）推进智能赋能，强化科技支撑保障能力</w:t>
          </w:r>
          <w:r>
            <w:rPr>
              <w:rFonts w:hint="eastAsia"/>
            </w:rPr>
            <w:tab/>
          </w:r>
          <w:r>
            <w:rPr>
              <w:rFonts w:hint="eastAsia"/>
            </w:rPr>
            <w:fldChar w:fldCharType="begin"/>
          </w:r>
          <w:r>
            <w:rPr>
              <w:rFonts w:hint="eastAsia"/>
            </w:rPr>
            <w:instrText xml:space="preserve"> </w:instrText>
          </w:r>
          <w:r>
            <w:instrText xml:space="preserve">PAGEREF _Toc218089295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0689245A">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"_Toc218089296" </w:instrText>
          </w:r>
          <w:r>
            <w:fldChar w:fldCharType="separate"/>
          </w:r>
          <w:r>
            <w:rPr>
              <w:rStyle w:val="22"/>
              <w:rFonts w:hint="eastAsia" w:eastAsia="楷体_GB2312"/>
              <w:b/>
              <w:bCs/>
              <w:color w:val="auto"/>
            </w:rPr>
            <w:t>（四）深化灾害治理，提升防灾减灾实战水平</w:t>
          </w:r>
          <w:r>
            <w:rPr>
              <w:rFonts w:hint="eastAsia"/>
            </w:rPr>
            <w:tab/>
          </w:r>
          <w:r>
            <w:rPr>
              <w:rFonts w:hint="eastAsia"/>
            </w:rPr>
            <w:fldChar w:fldCharType="begin"/>
          </w:r>
          <w:r>
            <w:rPr>
              <w:rFonts w:hint="eastAsia"/>
            </w:rPr>
            <w:instrText xml:space="preserve"> </w:instrText>
          </w:r>
          <w:r>
            <w:instrText xml:space="preserve">PAGEREF _Toc218089296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564440F3">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"_Toc218089297" </w:instrText>
          </w:r>
          <w:r>
            <w:fldChar w:fldCharType="separate"/>
          </w:r>
          <w:r>
            <w:rPr>
              <w:rStyle w:val="22"/>
              <w:rFonts w:hint="eastAsia" w:eastAsia="楷体_GB2312"/>
              <w:b/>
              <w:bCs/>
              <w:color w:val="auto"/>
            </w:rPr>
            <w:t>（五）加强人才培育，夯实安全基础保障能力</w:t>
          </w:r>
          <w:r>
            <w:rPr>
              <w:rFonts w:hint="eastAsia"/>
            </w:rPr>
            <w:tab/>
          </w:r>
          <w:r>
            <w:rPr>
              <w:rFonts w:hint="eastAsia"/>
            </w:rPr>
            <w:fldChar w:fldCharType="begin"/>
          </w:r>
          <w:r>
            <w:rPr>
              <w:rFonts w:hint="eastAsia"/>
            </w:rPr>
            <w:instrText xml:space="preserve"> </w:instrText>
          </w:r>
          <w:r>
            <w:instrText xml:space="preserve">PAGEREF _Toc218089297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137C8338">
          <w:pPr>
            <w:pStyle w:val="14"/>
            <w:tabs>
              <w:tab w:val="right" w:leader="dot" w:pos="8296"/>
            </w:tabs>
            <w:rPr>
              <w:rFonts w:hint="eastAsia" w:asciiTheme="minorHAnsi" w:hAnsiTheme="minorHAnsi" w:cstheme="minorBidi"/>
              <w:kern w:val="2"/>
              <w:sz w:val="22"/>
              <w:szCs w:val="24"/>
              <w14:ligatures w14:val="standardContextual"/>
            </w:rPr>
          </w:pPr>
          <w:r>
            <w:fldChar w:fldCharType="begin"/>
          </w:r>
          <w:r>
            <w:instrText xml:space="preserve"> HYPERLINK \l "_Toc218089298" </w:instrText>
          </w:r>
          <w:r>
            <w:fldChar w:fldCharType="separate"/>
          </w:r>
          <w:r>
            <w:rPr>
              <w:rStyle w:val="22"/>
              <w:rFonts w:hint="eastAsia" w:eastAsia="黑体"/>
              <w:color w:val="auto"/>
              <w:kern w:val="44"/>
            </w:rPr>
            <w:t>四、重大工程</w:t>
          </w:r>
          <w:r>
            <w:rPr>
              <w:rFonts w:hint="eastAsia"/>
            </w:rPr>
            <w:tab/>
          </w:r>
          <w:r>
            <w:rPr>
              <w:rFonts w:hint="eastAsia"/>
            </w:rPr>
            <w:fldChar w:fldCharType="begin"/>
          </w:r>
          <w:r>
            <w:rPr>
              <w:rFonts w:hint="eastAsia"/>
            </w:rPr>
            <w:instrText xml:space="preserve"> </w:instrText>
          </w:r>
          <w:r>
            <w:instrText xml:space="preserve">PAGEREF _Toc218089298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2AC2C620">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"_Toc218089299" </w:instrText>
          </w:r>
          <w:r>
            <w:fldChar w:fldCharType="separate"/>
          </w:r>
          <w:r>
            <w:rPr>
              <w:rStyle w:val="22"/>
              <w:rFonts w:hint="eastAsia" w:eastAsia="楷体_GB2312"/>
              <w:b/>
              <w:bCs/>
              <w:color w:val="auto"/>
            </w:rPr>
            <w:t>（一）“三个一批”工程</w:t>
          </w:r>
          <w:r>
            <w:rPr>
              <w:rFonts w:hint="eastAsia"/>
            </w:rPr>
            <w:tab/>
          </w:r>
          <w:r>
            <w:rPr>
              <w:rFonts w:hint="eastAsia"/>
            </w:rPr>
            <w:fldChar w:fldCharType="begin"/>
          </w:r>
          <w:r>
            <w:rPr>
              <w:rFonts w:hint="eastAsia"/>
            </w:rPr>
            <w:instrText xml:space="preserve"> </w:instrText>
          </w:r>
          <w:r>
            <w:instrText xml:space="preserve">PAGEREF _Toc218089299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D3777BE">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"_Toc218089300" </w:instrText>
          </w:r>
          <w:r>
            <w:fldChar w:fldCharType="separate"/>
          </w:r>
          <w:r>
            <w:rPr>
              <w:rStyle w:val="22"/>
              <w:rFonts w:hint="eastAsia" w:eastAsia="楷体_GB2312"/>
              <w:b/>
              <w:bCs/>
              <w:color w:val="auto"/>
            </w:rPr>
            <w:t>（二）智能化示范工程</w:t>
          </w:r>
          <w:r>
            <w:rPr>
              <w:rFonts w:hint="eastAsia"/>
            </w:rPr>
            <w:tab/>
          </w:r>
          <w:r>
            <w:rPr>
              <w:rFonts w:hint="eastAsia"/>
            </w:rPr>
            <w:fldChar w:fldCharType="begin"/>
          </w:r>
          <w:r>
            <w:rPr>
              <w:rFonts w:hint="eastAsia"/>
            </w:rPr>
            <w:instrText xml:space="preserve"> </w:instrText>
          </w:r>
          <w:r>
            <w:instrText xml:space="preserve">PAGEREF _Toc218089300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23F97DC1">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"_Toc218089301" </w:instrText>
          </w:r>
          <w:r>
            <w:fldChar w:fldCharType="separate"/>
          </w:r>
          <w:r>
            <w:rPr>
              <w:rStyle w:val="22"/>
              <w:rFonts w:hint="eastAsia" w:eastAsia="楷体_GB2312"/>
              <w:b/>
              <w:bCs/>
              <w:color w:val="auto"/>
            </w:rPr>
            <w:t>（三）尾矿库销号治理工程</w:t>
          </w:r>
          <w:r>
            <w:rPr>
              <w:rFonts w:hint="eastAsia"/>
            </w:rPr>
            <w:tab/>
          </w:r>
          <w:r>
            <w:rPr>
              <w:rFonts w:hint="eastAsia"/>
            </w:rPr>
            <w:fldChar w:fldCharType="begin"/>
          </w:r>
          <w:r>
            <w:rPr>
              <w:rFonts w:hint="eastAsia"/>
            </w:rPr>
            <w:instrText xml:space="preserve"> </w:instrText>
          </w:r>
          <w:r>
            <w:instrText xml:space="preserve">PAGEREF _Toc218089301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355A24C3">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"_Toc218089302" </w:instrText>
          </w:r>
          <w:r>
            <w:fldChar w:fldCharType="separate"/>
          </w:r>
          <w:r>
            <w:rPr>
              <w:rStyle w:val="22"/>
              <w:rFonts w:hint="eastAsia" w:eastAsia="楷体_GB2312"/>
              <w:b/>
              <w:bCs/>
              <w:color w:val="auto"/>
            </w:rPr>
            <w:t>（四）人才队伍提升工程</w:t>
          </w:r>
          <w:r>
            <w:rPr>
              <w:rFonts w:hint="eastAsia"/>
            </w:rPr>
            <w:tab/>
          </w:r>
          <w:r>
            <w:rPr>
              <w:rFonts w:hint="eastAsia"/>
            </w:rPr>
            <w:fldChar w:fldCharType="begin"/>
          </w:r>
          <w:r>
            <w:rPr>
              <w:rFonts w:hint="eastAsia"/>
            </w:rPr>
            <w:instrText xml:space="preserve"> </w:instrText>
          </w:r>
          <w:r>
            <w:instrText xml:space="preserve">PAGEREF _Toc218089302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5E4129E6">
          <w:pPr>
            <w:pStyle w:val="14"/>
            <w:tabs>
              <w:tab w:val="right" w:leader="dot" w:pos="8296"/>
            </w:tabs>
            <w:rPr>
              <w:rFonts w:hint="eastAsia" w:asciiTheme="minorHAnsi" w:hAnsiTheme="minorHAnsi" w:cstheme="minorBidi"/>
              <w:kern w:val="2"/>
              <w:sz w:val="22"/>
              <w:szCs w:val="24"/>
              <w14:ligatures w14:val="standardContextual"/>
            </w:rPr>
          </w:pPr>
          <w:r>
            <w:fldChar w:fldCharType="begin"/>
          </w:r>
          <w:r>
            <w:instrText xml:space="preserve"> HYPERLINK \l "_Toc218089303" </w:instrText>
          </w:r>
          <w:r>
            <w:fldChar w:fldCharType="separate"/>
          </w:r>
          <w:r>
            <w:rPr>
              <w:rStyle w:val="22"/>
              <w:rFonts w:hint="eastAsia" w:eastAsia="黑体"/>
              <w:color w:val="auto"/>
              <w:kern w:val="44"/>
            </w:rPr>
            <w:t>五、保障措施</w:t>
          </w:r>
          <w:r>
            <w:rPr>
              <w:rFonts w:hint="eastAsia"/>
            </w:rPr>
            <w:tab/>
          </w:r>
          <w:r>
            <w:rPr>
              <w:rFonts w:hint="eastAsia"/>
            </w:rPr>
            <w:fldChar w:fldCharType="begin"/>
          </w:r>
          <w:r>
            <w:rPr>
              <w:rFonts w:hint="eastAsia"/>
            </w:rPr>
            <w:instrText xml:space="preserve"> </w:instrText>
          </w:r>
          <w:r>
            <w:instrText xml:space="preserve">PAGEREF _Toc218089303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04F14D53">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"_Toc218089304" </w:instrText>
          </w:r>
          <w:r>
            <w:fldChar w:fldCharType="separate"/>
          </w:r>
          <w:r>
            <w:rPr>
              <w:rStyle w:val="22"/>
              <w:rFonts w:hint="eastAsia" w:eastAsia="楷体_GB2312"/>
              <w:b/>
              <w:bCs/>
              <w:color w:val="auto"/>
            </w:rPr>
            <w:t>（一）加强组织领导</w:t>
          </w:r>
          <w:r>
            <w:rPr>
              <w:rFonts w:hint="eastAsia"/>
            </w:rPr>
            <w:tab/>
          </w:r>
          <w:r>
            <w:rPr>
              <w:rFonts w:hint="eastAsia"/>
            </w:rPr>
            <w:fldChar w:fldCharType="begin"/>
          </w:r>
          <w:r>
            <w:rPr>
              <w:rFonts w:hint="eastAsia"/>
            </w:rPr>
            <w:instrText xml:space="preserve"> </w:instrText>
          </w:r>
          <w:r>
            <w:instrText xml:space="preserve">PAGEREF _Toc218089304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38302ACA">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"_Toc218089305" </w:instrText>
          </w:r>
          <w:r>
            <w:fldChar w:fldCharType="separate"/>
          </w:r>
          <w:r>
            <w:rPr>
              <w:rStyle w:val="22"/>
              <w:rFonts w:hint="eastAsia" w:eastAsia="楷体_GB2312"/>
              <w:b/>
              <w:bCs/>
              <w:color w:val="auto"/>
            </w:rPr>
            <w:t>（二）强化政策支持</w:t>
          </w:r>
          <w:r>
            <w:rPr>
              <w:rFonts w:hint="eastAsia"/>
            </w:rPr>
            <w:tab/>
          </w:r>
          <w:r>
            <w:rPr>
              <w:rFonts w:hint="eastAsia"/>
            </w:rPr>
            <w:fldChar w:fldCharType="begin"/>
          </w:r>
          <w:r>
            <w:rPr>
              <w:rFonts w:hint="eastAsia"/>
            </w:rPr>
            <w:instrText xml:space="preserve"> </w:instrText>
          </w:r>
          <w:r>
            <w:instrText xml:space="preserve">PAGEREF _Toc218089305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2AE665B8">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"_Toc218089306" </w:instrText>
          </w:r>
          <w:r>
            <w:fldChar w:fldCharType="separate"/>
          </w:r>
          <w:r>
            <w:rPr>
              <w:rStyle w:val="22"/>
              <w:rFonts w:hint="eastAsia" w:eastAsia="楷体_GB2312"/>
              <w:b/>
              <w:bCs/>
              <w:color w:val="auto"/>
            </w:rPr>
            <w:t>（三）加强协调衔接</w:t>
          </w:r>
          <w:r>
            <w:rPr>
              <w:rFonts w:hint="eastAsia"/>
            </w:rPr>
            <w:tab/>
          </w:r>
          <w:r>
            <w:rPr>
              <w:rFonts w:hint="eastAsia"/>
            </w:rPr>
            <w:fldChar w:fldCharType="begin"/>
          </w:r>
          <w:r>
            <w:rPr>
              <w:rFonts w:hint="eastAsia"/>
            </w:rPr>
            <w:instrText xml:space="preserve"> </w:instrText>
          </w:r>
          <w:r>
            <w:instrText xml:space="preserve">PAGEREF _Toc218089306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63D9119E">
          <w:pPr>
            <w:pStyle w:val="16"/>
            <w:tabs>
              <w:tab w:val="right" w:leader="dot" w:pos="8296"/>
            </w:tabs>
            <w:ind w:left="400"/>
            <w:rPr>
              <w:rFonts w:hint="eastAsia" w:asciiTheme="minorHAnsi" w:hAnsiTheme="minorHAnsi" w:cstheme="minorBidi"/>
              <w:kern w:val="2"/>
              <w:sz w:val="22"/>
              <w:szCs w:val="24"/>
              <w14:ligatures w14:val="standardContextual"/>
            </w:rPr>
          </w:pPr>
          <w:r>
            <w:fldChar w:fldCharType="begin"/>
          </w:r>
          <w:r>
            <w:instrText xml:space="preserve"> HYPERLINK \l "_Toc218089307" </w:instrText>
          </w:r>
          <w:r>
            <w:fldChar w:fldCharType="separate"/>
          </w:r>
          <w:r>
            <w:rPr>
              <w:rStyle w:val="22"/>
              <w:rFonts w:hint="eastAsia" w:eastAsia="楷体_GB2312"/>
              <w:b/>
              <w:bCs/>
              <w:color w:val="auto"/>
            </w:rPr>
            <w:t>（四）严格考核评估</w:t>
          </w:r>
          <w:r>
            <w:rPr>
              <w:rFonts w:hint="eastAsia"/>
            </w:rPr>
            <w:tab/>
          </w:r>
          <w:r>
            <w:rPr>
              <w:rFonts w:hint="eastAsia"/>
            </w:rPr>
            <w:fldChar w:fldCharType="begin"/>
          </w:r>
          <w:r>
            <w:rPr>
              <w:rFonts w:hint="eastAsia"/>
            </w:rPr>
            <w:instrText xml:space="preserve"> </w:instrText>
          </w:r>
          <w:r>
            <w:instrText xml:space="preserve">PAGEREF _Toc218089307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2A83E33">
          <w:pPr>
            <w:spacing w:line="360" w:lineRule="auto"/>
          </w:pPr>
          <w:r>
            <w:rPr>
              <w:b/>
              <w:bCs/>
              <w:sz w:val="24"/>
              <w:szCs w:val="24"/>
              <w:lang w:val="zh-CN"/>
            </w:rPr>
            <w:fldChar w:fldCharType="end"/>
          </w:r>
        </w:p>
      </w:sdtContent>
    </w:sdt>
    <w:p w14:paraId="4B670DCF">
      <w:pPr>
        <w:widowControl/>
        <w:rPr>
          <w:rFonts w:eastAsia="仿宋_GB2312"/>
          <w:bCs/>
          <w:sz w:val="32"/>
          <w:szCs w:val="32"/>
        </w:rPr>
        <w:sectPr>
          <w:pgSz w:w="11906" w:h="16838"/>
          <w:pgMar w:top="1440" w:right="1800" w:bottom="1440" w:left="1800" w:header="851" w:footer="992" w:gutter="0"/>
          <w:cols w:space="425" w:num="1"/>
          <w:docGrid w:type="lines" w:linePitch="312" w:charSpace="0"/>
        </w:sectPr>
      </w:pPr>
    </w:p>
    <w:p w14:paraId="4B898B86">
      <w:pPr>
        <w:spacing w:line="580" w:lineRule="exact"/>
        <w:ind w:firstLine="640" w:firstLineChars="200"/>
        <w:jc w:val="both"/>
        <w:rPr>
          <w:rFonts w:eastAsia="仿宋_GB2312"/>
          <w:bCs/>
          <w:sz w:val="32"/>
          <w:szCs w:val="32"/>
        </w:rPr>
      </w:pPr>
      <w:r>
        <w:rPr>
          <w:rFonts w:eastAsia="仿宋_GB2312"/>
          <w:bCs/>
          <w:sz w:val="32"/>
          <w:szCs w:val="32"/>
        </w:rPr>
        <w:t>为深入贯彻落实习近平总书记关于安全生产工作的重要指示精神及党中央、国务院决策部署，严格</w:t>
      </w:r>
      <w:r>
        <w:rPr>
          <w:rFonts w:hint="eastAsia" w:eastAsia="仿宋_GB2312"/>
          <w:bCs/>
          <w:sz w:val="32"/>
          <w:szCs w:val="32"/>
        </w:rPr>
        <w:t>落实</w:t>
      </w:r>
      <w:r>
        <w:rPr>
          <w:rFonts w:eastAsia="仿宋_GB2312"/>
          <w:bCs/>
          <w:sz w:val="32"/>
          <w:szCs w:val="32"/>
        </w:rPr>
        <w:t>省委省政府</w:t>
      </w:r>
      <w:r>
        <w:rPr>
          <w:rFonts w:hint="eastAsia" w:eastAsia="仿宋_GB2312"/>
          <w:bCs/>
          <w:sz w:val="32"/>
          <w:szCs w:val="32"/>
        </w:rPr>
        <w:t>、</w:t>
      </w:r>
      <w:r>
        <w:rPr>
          <w:rFonts w:eastAsia="仿宋_GB2312"/>
          <w:bCs/>
          <w:sz w:val="32"/>
          <w:szCs w:val="32"/>
        </w:rPr>
        <w:t>市委市政府</w:t>
      </w:r>
      <w:r>
        <w:rPr>
          <w:rFonts w:hint="eastAsia" w:eastAsia="仿宋_GB2312"/>
          <w:bCs/>
          <w:sz w:val="32"/>
          <w:szCs w:val="32"/>
        </w:rPr>
        <w:t>和县委县政府的安全生产</w:t>
      </w:r>
      <w:r>
        <w:rPr>
          <w:rFonts w:eastAsia="仿宋_GB2312"/>
          <w:bCs/>
          <w:sz w:val="32"/>
          <w:szCs w:val="32"/>
        </w:rPr>
        <w:t>工作要求，切实防范化解矿山重大安全风险</w:t>
      </w:r>
      <w:r>
        <w:rPr>
          <w:rFonts w:hint="eastAsia" w:eastAsia="仿宋_GB2312"/>
          <w:bCs/>
          <w:sz w:val="32"/>
          <w:szCs w:val="32"/>
        </w:rPr>
        <w:t>，</w:t>
      </w:r>
      <w:bookmarkStart w:id="0" w:name="OLE_LINK10"/>
      <w:r>
        <w:rPr>
          <w:rFonts w:eastAsia="仿宋_GB2312"/>
          <w:bCs/>
          <w:sz w:val="32"/>
          <w:szCs w:val="32"/>
        </w:rPr>
        <w:t>有效遏制较大及以上事故</w:t>
      </w:r>
      <w:bookmarkEnd w:id="0"/>
      <w:r>
        <w:rPr>
          <w:rFonts w:hint="eastAsia" w:eastAsia="仿宋_GB2312"/>
          <w:bCs/>
          <w:sz w:val="32"/>
          <w:szCs w:val="32"/>
        </w:rPr>
        <w:t>，</w:t>
      </w:r>
      <w:r>
        <w:rPr>
          <w:rFonts w:eastAsia="仿宋_GB2312"/>
          <w:bCs/>
          <w:sz w:val="32"/>
          <w:szCs w:val="32"/>
        </w:rPr>
        <w:t>保障从业人员生命财产安全</w:t>
      </w:r>
      <w:r>
        <w:rPr>
          <w:rFonts w:hint="eastAsia" w:eastAsia="仿宋_GB2312"/>
          <w:bCs/>
          <w:sz w:val="32"/>
          <w:szCs w:val="32"/>
        </w:rPr>
        <w:t>，</w:t>
      </w:r>
      <w:r>
        <w:rPr>
          <w:rFonts w:eastAsia="仿宋_GB2312"/>
          <w:bCs/>
          <w:sz w:val="32"/>
          <w:szCs w:val="32"/>
        </w:rPr>
        <w:t>依据《中华人民共和国安全生产法》《中华人民共和国矿山安全法》</w:t>
      </w:r>
      <w:r>
        <w:rPr>
          <w:rFonts w:hint="eastAsia" w:eastAsia="仿宋_GB2312"/>
          <w:bCs/>
          <w:sz w:val="32"/>
          <w:szCs w:val="32"/>
        </w:rPr>
        <w:t>《中共中央办公厅 国务院办公厅关于进一步加强矿山安全生产工作的意见》《中共浙江省委办公厅</w:t>
      </w:r>
      <w:r>
        <w:rPr>
          <w:rFonts w:eastAsia="仿宋_GB2312"/>
          <w:bCs/>
          <w:sz w:val="32"/>
          <w:szCs w:val="32"/>
        </w:rPr>
        <w:t xml:space="preserve"> </w:t>
      </w:r>
      <w:r>
        <w:rPr>
          <w:rFonts w:hint="eastAsia" w:eastAsia="仿宋_GB2312"/>
          <w:bCs/>
          <w:sz w:val="32"/>
          <w:szCs w:val="32"/>
        </w:rPr>
        <w:t>浙江省人民政府办公厅印发&lt;关于进一步加强矿山安全生产工作的实施意见&gt;的通知》</w:t>
      </w:r>
      <w:r>
        <w:rPr>
          <w:rFonts w:hint="eastAsia" w:ascii="仿宋_GB2312" w:hAnsi="仿宋_GB2312" w:eastAsia="仿宋_GB2312" w:cs="仿宋_GB2312"/>
          <w:bCs/>
          <w:sz w:val="32"/>
          <w:szCs w:val="32"/>
        </w:rPr>
        <w:t>等法律法规与政策文件，结合遂昌县矿山安全生产工作实际，</w:t>
      </w:r>
      <w:r>
        <w:rPr>
          <w:rFonts w:eastAsia="仿宋_GB2312"/>
          <w:bCs/>
          <w:sz w:val="32"/>
          <w:szCs w:val="32"/>
        </w:rPr>
        <w:t>特制定本规划。</w:t>
      </w:r>
      <w:r>
        <w:rPr>
          <w:rFonts w:hint="eastAsia" w:eastAsia="仿宋_GB2312"/>
          <w:bCs/>
          <w:sz w:val="32"/>
          <w:szCs w:val="32"/>
        </w:rPr>
        <w:t>规划期为2026年至2030年。</w:t>
      </w:r>
    </w:p>
    <w:p w14:paraId="76BA7EE6">
      <w:pPr>
        <w:pStyle w:val="2"/>
        <w:spacing w:before="0" w:after="0" w:line="580" w:lineRule="exact"/>
        <w:ind w:firstLine="640" w:firstLineChars="200"/>
        <w:jc w:val="both"/>
        <w:rPr>
          <w:rFonts w:ascii="Times New Roman" w:hAnsi="Times New Roman" w:eastAsia="黑体" w:cs="Times New Roman"/>
          <w:color w:val="auto"/>
          <w:kern w:val="44"/>
          <w:sz w:val="32"/>
          <w:szCs w:val="32"/>
        </w:rPr>
      </w:pPr>
      <w:bookmarkStart w:id="1" w:name="_Toc218089284"/>
      <w:r>
        <w:rPr>
          <w:rFonts w:ascii="Times New Roman" w:hAnsi="Times New Roman" w:eastAsia="黑体" w:cs="Times New Roman"/>
          <w:color w:val="auto"/>
          <w:kern w:val="44"/>
          <w:sz w:val="32"/>
          <w:szCs w:val="32"/>
        </w:rPr>
        <w:t>一、现状与形势</w:t>
      </w:r>
      <w:bookmarkEnd w:id="1"/>
    </w:p>
    <w:p w14:paraId="6BA33AFB">
      <w:pPr>
        <w:spacing w:line="580" w:lineRule="exact"/>
        <w:ind w:firstLine="640" w:firstLineChars="200"/>
        <w:jc w:val="both"/>
        <w:rPr>
          <w:rFonts w:eastAsia="仿宋_GB2312"/>
          <w:bCs/>
          <w:sz w:val="32"/>
          <w:szCs w:val="32"/>
        </w:rPr>
      </w:pPr>
      <w:r>
        <w:rPr>
          <w:rFonts w:hint="eastAsia" w:eastAsia="仿宋_GB2312"/>
          <w:bCs/>
          <w:sz w:val="32"/>
          <w:szCs w:val="32"/>
        </w:rPr>
        <w:t>截至2025年底，遂昌县共有23家矿山企业，主要类型为地下矿山、露天矿山、尾矿库，其中地下矿山15</w:t>
      </w:r>
      <w:r>
        <w:rPr>
          <w:rFonts w:eastAsia="仿宋_GB2312"/>
          <w:bCs/>
          <w:sz w:val="32"/>
          <w:szCs w:val="32"/>
        </w:rPr>
        <w:t>家，占比 6</w:t>
      </w:r>
      <w:r>
        <w:rPr>
          <w:rFonts w:hint="eastAsia" w:eastAsia="仿宋_GB2312"/>
          <w:bCs/>
          <w:sz w:val="32"/>
          <w:szCs w:val="32"/>
        </w:rPr>
        <w:t>5.3</w:t>
      </w:r>
      <w:r>
        <w:rPr>
          <w:rFonts w:eastAsia="仿宋_GB2312"/>
          <w:bCs/>
          <w:sz w:val="32"/>
          <w:szCs w:val="32"/>
        </w:rPr>
        <w:t>%</w:t>
      </w:r>
      <w:r>
        <w:rPr>
          <w:rFonts w:hint="eastAsia" w:eastAsia="仿宋_GB2312"/>
          <w:bCs/>
          <w:sz w:val="32"/>
          <w:szCs w:val="32"/>
        </w:rPr>
        <w:t>；</w:t>
      </w:r>
      <w:r>
        <w:rPr>
          <w:rFonts w:eastAsia="仿宋_GB2312"/>
          <w:bCs/>
          <w:sz w:val="32"/>
          <w:szCs w:val="32"/>
        </w:rPr>
        <w:t>露天矿山</w:t>
      </w:r>
      <w:r>
        <w:rPr>
          <w:rFonts w:hint="eastAsia" w:eastAsia="仿宋_GB2312"/>
          <w:bCs/>
          <w:sz w:val="32"/>
          <w:szCs w:val="32"/>
        </w:rPr>
        <w:t>5</w:t>
      </w:r>
      <w:r>
        <w:rPr>
          <w:rFonts w:eastAsia="仿宋_GB2312"/>
          <w:bCs/>
          <w:sz w:val="32"/>
          <w:szCs w:val="32"/>
        </w:rPr>
        <w:t>家，占比</w:t>
      </w:r>
      <w:r>
        <w:rPr>
          <w:rFonts w:hint="eastAsia" w:eastAsia="仿宋_GB2312"/>
          <w:bCs/>
          <w:sz w:val="32"/>
          <w:szCs w:val="32"/>
        </w:rPr>
        <w:t>21.7</w:t>
      </w:r>
      <w:r>
        <w:rPr>
          <w:rFonts w:eastAsia="仿宋_GB2312"/>
          <w:bCs/>
          <w:sz w:val="32"/>
          <w:szCs w:val="32"/>
        </w:rPr>
        <w:t>%</w:t>
      </w:r>
      <w:r>
        <w:rPr>
          <w:rFonts w:hint="eastAsia" w:eastAsia="仿宋_GB2312"/>
          <w:bCs/>
          <w:sz w:val="32"/>
          <w:szCs w:val="32"/>
        </w:rPr>
        <w:t>；</w:t>
      </w:r>
      <w:r>
        <w:rPr>
          <w:rFonts w:eastAsia="仿宋_GB2312"/>
          <w:bCs/>
          <w:sz w:val="32"/>
          <w:szCs w:val="32"/>
        </w:rPr>
        <w:t xml:space="preserve">尾矿库3 家，占比 </w:t>
      </w:r>
      <w:r>
        <w:rPr>
          <w:rFonts w:hint="eastAsia" w:eastAsia="仿宋_GB2312"/>
          <w:bCs/>
          <w:sz w:val="32"/>
          <w:szCs w:val="32"/>
        </w:rPr>
        <w:t>13</w:t>
      </w:r>
      <w:r>
        <w:rPr>
          <w:rFonts w:eastAsia="仿宋_GB2312"/>
          <w:bCs/>
          <w:sz w:val="32"/>
          <w:szCs w:val="32"/>
        </w:rPr>
        <w:t>%</w:t>
      </w:r>
      <w:r>
        <w:rPr>
          <w:rFonts w:hint="eastAsia" w:eastAsia="仿宋_GB2312"/>
          <w:bCs/>
          <w:sz w:val="32"/>
          <w:szCs w:val="32"/>
        </w:rPr>
        <w:t>。目前23家矿山企业中，正常生产的矿山企业共13家，处于建设期的有2家， 8家矿山企业处于停产状态。全县大中型矿山14家，其中大型矿山9家，中型矿山5家；地下矿山中，以萤石矿为主，占比86.7%，露天矿山中，建筑用花岗岩占比60%，饰面用花岗岩矿占比40%。</w:t>
      </w:r>
    </w:p>
    <w:p w14:paraId="701AB215">
      <w:pPr>
        <w:widowControl/>
        <w:rPr>
          <w:rFonts w:eastAsia="仿宋_GB2312"/>
          <w:bCs/>
          <w:sz w:val="32"/>
          <w:szCs w:val="32"/>
        </w:rPr>
      </w:pPr>
      <w:r>
        <w:rPr>
          <w:rFonts w:eastAsia="仿宋_GB2312"/>
          <w:bCs/>
          <w:sz w:val="32"/>
          <w:szCs w:val="32"/>
        </w:rPr>
        <w:br w:type="page"/>
      </w:r>
    </w:p>
    <w:tbl>
      <w:tblPr>
        <w:tblStyle w:val="19"/>
        <w:tblW w:w="8296" w:type="dxa"/>
        <w:tblInd w:w="0" w:type="dxa"/>
        <w:tblLayout w:type="fixed"/>
        <w:tblCellMar>
          <w:top w:w="0" w:type="dxa"/>
          <w:left w:w="108" w:type="dxa"/>
          <w:bottom w:w="0" w:type="dxa"/>
          <w:right w:w="108" w:type="dxa"/>
        </w:tblCellMar>
      </w:tblPr>
      <w:tblGrid>
        <w:gridCol w:w="697"/>
        <w:gridCol w:w="2854"/>
        <w:gridCol w:w="935"/>
        <w:gridCol w:w="1313"/>
        <w:gridCol w:w="989"/>
        <w:gridCol w:w="1272"/>
        <w:gridCol w:w="236"/>
      </w:tblGrid>
      <w:tr w14:paraId="5A0B1C9D">
        <w:trPr>
          <w:gridAfter w:val="1"/>
          <w:wAfter w:w="236" w:type="dxa"/>
          <w:trHeight w:val="500" w:hRule="atLeast"/>
        </w:trPr>
        <w:tc>
          <w:tcPr>
            <w:tcW w:w="8060" w:type="dxa"/>
            <w:gridSpan w:val="6"/>
            <w:tcBorders>
              <w:top w:val="single" w:color="auto" w:sz="4" w:space="0"/>
              <w:left w:val="single" w:color="auto" w:sz="4" w:space="0"/>
              <w:bottom w:val="single" w:color="000000" w:sz="4" w:space="0"/>
              <w:right w:val="single" w:color="auto" w:sz="4" w:space="0"/>
            </w:tcBorders>
            <w:noWrap/>
            <w:vAlign w:val="center"/>
          </w:tcPr>
          <w:p w14:paraId="4B2EB60E">
            <w:pPr>
              <w:spacing w:line="580" w:lineRule="exact"/>
              <w:jc w:val="center"/>
              <w:rPr>
                <w:rFonts w:eastAsia="等线"/>
                <w:sz w:val="22"/>
                <w:szCs w:val="22"/>
              </w:rPr>
            </w:pPr>
            <w:r>
              <w:rPr>
                <w:rFonts w:eastAsia="黑体"/>
                <w:b/>
                <w:kern w:val="2"/>
                <w:sz w:val="30"/>
                <w:szCs w:val="30"/>
              </w:rPr>
              <w:t>专栏1 遂昌县矿山基本信息一览表</w:t>
            </w:r>
          </w:p>
        </w:tc>
      </w:tr>
      <w:tr w14:paraId="56C2CB17">
        <w:trPr>
          <w:gridAfter w:val="1"/>
          <w:wAfter w:w="236" w:type="dxa"/>
          <w:trHeight w:val="624" w:hRule="atLeast"/>
        </w:trPr>
        <w:tc>
          <w:tcPr>
            <w:tcW w:w="697" w:type="dxa"/>
            <w:vMerge w:val="restart"/>
            <w:tcBorders>
              <w:top w:val="single" w:color="auto" w:sz="4" w:space="0"/>
              <w:left w:val="single" w:color="auto" w:sz="4" w:space="0"/>
              <w:bottom w:val="single" w:color="000000" w:sz="4" w:space="0"/>
              <w:right w:val="single" w:color="auto" w:sz="4" w:space="0"/>
            </w:tcBorders>
            <w:noWrap/>
            <w:vAlign w:val="center"/>
          </w:tcPr>
          <w:p w14:paraId="77559197">
            <w:pPr>
              <w:jc w:val="center"/>
              <w:rPr>
                <w:rFonts w:eastAsia="仿宋_GB2312"/>
                <w:b/>
                <w:sz w:val="24"/>
                <w:szCs w:val="24"/>
              </w:rPr>
            </w:pPr>
            <w:r>
              <w:rPr>
                <w:rFonts w:hint="eastAsia" w:eastAsia="仿宋_GB2312"/>
                <w:b/>
                <w:sz w:val="24"/>
                <w:szCs w:val="24"/>
              </w:rPr>
              <w:t>序号</w:t>
            </w:r>
          </w:p>
        </w:tc>
        <w:tc>
          <w:tcPr>
            <w:tcW w:w="2854" w:type="dxa"/>
            <w:vMerge w:val="restart"/>
            <w:tcBorders>
              <w:top w:val="single" w:color="auto" w:sz="4" w:space="0"/>
              <w:left w:val="single" w:color="auto" w:sz="4" w:space="0"/>
              <w:bottom w:val="single" w:color="000000" w:sz="4" w:space="0"/>
              <w:right w:val="single" w:color="auto" w:sz="4" w:space="0"/>
            </w:tcBorders>
            <w:noWrap/>
            <w:vAlign w:val="center"/>
          </w:tcPr>
          <w:p w14:paraId="28BF56E7">
            <w:pPr>
              <w:jc w:val="center"/>
              <w:rPr>
                <w:rFonts w:eastAsia="仿宋_GB2312"/>
                <w:b/>
                <w:sz w:val="24"/>
                <w:szCs w:val="24"/>
              </w:rPr>
            </w:pPr>
            <w:r>
              <w:rPr>
                <w:rFonts w:hint="eastAsia" w:eastAsia="仿宋_GB2312"/>
                <w:b/>
                <w:sz w:val="24"/>
                <w:szCs w:val="24"/>
              </w:rPr>
              <w:t>企业名称（矿山）</w:t>
            </w:r>
          </w:p>
        </w:tc>
        <w:tc>
          <w:tcPr>
            <w:tcW w:w="935" w:type="dxa"/>
            <w:vMerge w:val="restart"/>
            <w:tcBorders>
              <w:top w:val="single" w:color="auto" w:sz="4" w:space="0"/>
              <w:left w:val="single" w:color="auto" w:sz="4" w:space="0"/>
              <w:bottom w:val="single" w:color="000000" w:sz="4" w:space="0"/>
              <w:right w:val="single" w:color="auto" w:sz="4" w:space="0"/>
            </w:tcBorders>
            <w:vAlign w:val="center"/>
          </w:tcPr>
          <w:p w14:paraId="4F7597EF">
            <w:pPr>
              <w:jc w:val="center"/>
              <w:rPr>
                <w:rFonts w:eastAsia="仿宋_GB2312"/>
                <w:b/>
                <w:sz w:val="24"/>
                <w:szCs w:val="24"/>
              </w:rPr>
            </w:pPr>
            <w:r>
              <w:rPr>
                <w:rFonts w:hint="eastAsia" w:eastAsia="仿宋_GB2312"/>
                <w:b/>
                <w:sz w:val="24"/>
                <w:szCs w:val="24"/>
              </w:rPr>
              <w:t>矿山类别</w:t>
            </w:r>
          </w:p>
        </w:tc>
        <w:tc>
          <w:tcPr>
            <w:tcW w:w="1313" w:type="dxa"/>
            <w:vMerge w:val="restart"/>
            <w:tcBorders>
              <w:top w:val="single" w:color="auto" w:sz="4" w:space="0"/>
              <w:left w:val="single" w:color="auto" w:sz="4" w:space="0"/>
              <w:bottom w:val="single" w:color="000000" w:sz="4" w:space="0"/>
              <w:right w:val="single" w:color="auto" w:sz="4" w:space="0"/>
            </w:tcBorders>
            <w:vAlign w:val="center"/>
          </w:tcPr>
          <w:p w14:paraId="6D52989E">
            <w:pPr>
              <w:jc w:val="center"/>
              <w:rPr>
                <w:rFonts w:eastAsia="仿宋_GB2312"/>
                <w:b/>
                <w:sz w:val="24"/>
                <w:szCs w:val="24"/>
              </w:rPr>
            </w:pPr>
            <w:r>
              <w:rPr>
                <w:rFonts w:hint="eastAsia" w:eastAsia="仿宋_GB2312"/>
                <w:b/>
                <w:sz w:val="24"/>
                <w:szCs w:val="24"/>
              </w:rPr>
              <w:t>矿石种类</w:t>
            </w:r>
          </w:p>
        </w:tc>
        <w:tc>
          <w:tcPr>
            <w:tcW w:w="989" w:type="dxa"/>
            <w:vMerge w:val="restart"/>
            <w:tcBorders>
              <w:top w:val="single" w:color="auto" w:sz="4" w:space="0"/>
              <w:left w:val="single" w:color="auto" w:sz="4" w:space="0"/>
              <w:bottom w:val="single" w:color="000000" w:sz="4" w:space="0"/>
              <w:right w:val="single" w:color="auto" w:sz="4" w:space="0"/>
            </w:tcBorders>
            <w:vAlign w:val="center"/>
          </w:tcPr>
          <w:p w14:paraId="14B5DBB7">
            <w:pPr>
              <w:jc w:val="center"/>
              <w:rPr>
                <w:rFonts w:eastAsia="仿宋_GB2312"/>
                <w:b/>
                <w:sz w:val="24"/>
                <w:szCs w:val="24"/>
              </w:rPr>
            </w:pPr>
            <w:r>
              <w:rPr>
                <w:rFonts w:hint="eastAsia" w:eastAsia="仿宋_GB2312"/>
                <w:b/>
                <w:sz w:val="24"/>
                <w:szCs w:val="24"/>
              </w:rPr>
              <w:t>矿山规模</w:t>
            </w:r>
          </w:p>
        </w:tc>
        <w:tc>
          <w:tcPr>
            <w:tcW w:w="1272" w:type="dxa"/>
            <w:vMerge w:val="restart"/>
            <w:tcBorders>
              <w:top w:val="single" w:color="auto" w:sz="4" w:space="0"/>
              <w:left w:val="single" w:color="auto" w:sz="4" w:space="0"/>
              <w:bottom w:val="single" w:color="000000" w:sz="4" w:space="0"/>
              <w:right w:val="single" w:color="auto" w:sz="4" w:space="0"/>
            </w:tcBorders>
            <w:noWrap/>
            <w:vAlign w:val="center"/>
          </w:tcPr>
          <w:p w14:paraId="1FBAA7C4">
            <w:pPr>
              <w:jc w:val="center"/>
              <w:rPr>
                <w:rFonts w:eastAsia="仿宋_GB2312"/>
                <w:b/>
                <w:sz w:val="24"/>
                <w:szCs w:val="24"/>
              </w:rPr>
            </w:pPr>
            <w:r>
              <w:rPr>
                <w:rFonts w:hint="eastAsia" w:eastAsia="仿宋_GB2312"/>
                <w:b/>
                <w:sz w:val="24"/>
                <w:szCs w:val="24"/>
              </w:rPr>
              <w:t>生产状态</w:t>
            </w:r>
          </w:p>
        </w:tc>
      </w:tr>
      <w:tr w14:paraId="619FECCF">
        <w:trPr>
          <w:trHeight w:val="500" w:hRule="atLeast"/>
        </w:trPr>
        <w:tc>
          <w:tcPr>
            <w:tcW w:w="697" w:type="dxa"/>
            <w:vMerge w:val="continue"/>
            <w:tcBorders>
              <w:top w:val="single" w:color="auto" w:sz="4" w:space="0"/>
              <w:left w:val="single" w:color="auto" w:sz="4" w:space="0"/>
              <w:bottom w:val="single" w:color="000000" w:sz="4" w:space="0"/>
              <w:right w:val="single" w:color="auto" w:sz="4" w:space="0"/>
            </w:tcBorders>
            <w:vAlign w:val="center"/>
          </w:tcPr>
          <w:p w14:paraId="09F616BD">
            <w:pPr>
              <w:jc w:val="both"/>
              <w:rPr>
                <w:rFonts w:eastAsia="仿宋_GB2312"/>
                <w:bCs/>
                <w:sz w:val="24"/>
                <w:szCs w:val="24"/>
              </w:rPr>
            </w:pPr>
          </w:p>
        </w:tc>
        <w:tc>
          <w:tcPr>
            <w:tcW w:w="2854" w:type="dxa"/>
            <w:vMerge w:val="continue"/>
            <w:tcBorders>
              <w:top w:val="single" w:color="auto" w:sz="4" w:space="0"/>
              <w:left w:val="single" w:color="auto" w:sz="4" w:space="0"/>
              <w:bottom w:val="single" w:color="000000" w:sz="4" w:space="0"/>
              <w:right w:val="single" w:color="auto" w:sz="4" w:space="0"/>
            </w:tcBorders>
            <w:vAlign w:val="center"/>
          </w:tcPr>
          <w:p w14:paraId="40D2FAEC">
            <w:pPr>
              <w:jc w:val="both"/>
              <w:rPr>
                <w:rFonts w:eastAsia="仿宋_GB2312"/>
                <w:bCs/>
                <w:sz w:val="24"/>
                <w:szCs w:val="24"/>
              </w:rPr>
            </w:pPr>
          </w:p>
        </w:tc>
        <w:tc>
          <w:tcPr>
            <w:tcW w:w="935" w:type="dxa"/>
            <w:vMerge w:val="continue"/>
            <w:tcBorders>
              <w:top w:val="single" w:color="auto" w:sz="4" w:space="0"/>
              <w:left w:val="single" w:color="auto" w:sz="4" w:space="0"/>
              <w:bottom w:val="single" w:color="000000" w:sz="4" w:space="0"/>
              <w:right w:val="single" w:color="auto" w:sz="4" w:space="0"/>
            </w:tcBorders>
            <w:vAlign w:val="center"/>
          </w:tcPr>
          <w:p w14:paraId="78F0F44A">
            <w:pPr>
              <w:jc w:val="both"/>
              <w:rPr>
                <w:rFonts w:eastAsia="仿宋_GB2312"/>
                <w:bCs/>
                <w:sz w:val="24"/>
                <w:szCs w:val="24"/>
              </w:rPr>
            </w:pPr>
          </w:p>
        </w:tc>
        <w:tc>
          <w:tcPr>
            <w:tcW w:w="1313" w:type="dxa"/>
            <w:vMerge w:val="continue"/>
            <w:tcBorders>
              <w:top w:val="single" w:color="auto" w:sz="4" w:space="0"/>
              <w:left w:val="single" w:color="auto" w:sz="4" w:space="0"/>
              <w:bottom w:val="single" w:color="000000" w:sz="4" w:space="0"/>
              <w:right w:val="single" w:color="auto" w:sz="4" w:space="0"/>
            </w:tcBorders>
            <w:vAlign w:val="center"/>
          </w:tcPr>
          <w:p w14:paraId="4ED8C2CD">
            <w:pPr>
              <w:jc w:val="both"/>
              <w:rPr>
                <w:rFonts w:eastAsia="仿宋_GB2312"/>
                <w:bCs/>
                <w:sz w:val="24"/>
                <w:szCs w:val="24"/>
              </w:rPr>
            </w:pPr>
          </w:p>
        </w:tc>
        <w:tc>
          <w:tcPr>
            <w:tcW w:w="989" w:type="dxa"/>
            <w:vMerge w:val="continue"/>
            <w:tcBorders>
              <w:top w:val="single" w:color="auto" w:sz="4" w:space="0"/>
              <w:left w:val="single" w:color="auto" w:sz="4" w:space="0"/>
              <w:bottom w:val="single" w:color="000000" w:sz="4" w:space="0"/>
              <w:right w:val="single" w:color="auto" w:sz="4" w:space="0"/>
            </w:tcBorders>
            <w:vAlign w:val="center"/>
          </w:tcPr>
          <w:p w14:paraId="6CB61F7E">
            <w:pPr>
              <w:jc w:val="both"/>
              <w:rPr>
                <w:rFonts w:eastAsia="仿宋_GB2312"/>
                <w:bCs/>
                <w:sz w:val="24"/>
                <w:szCs w:val="24"/>
              </w:rPr>
            </w:pPr>
          </w:p>
        </w:tc>
        <w:tc>
          <w:tcPr>
            <w:tcW w:w="1272" w:type="dxa"/>
            <w:vMerge w:val="continue"/>
            <w:tcBorders>
              <w:top w:val="single" w:color="auto" w:sz="4" w:space="0"/>
              <w:left w:val="single" w:color="auto" w:sz="4" w:space="0"/>
              <w:bottom w:val="single" w:color="000000" w:sz="4" w:space="0"/>
              <w:right w:val="single" w:color="auto" w:sz="4" w:space="0"/>
            </w:tcBorders>
            <w:vAlign w:val="center"/>
          </w:tcPr>
          <w:p w14:paraId="21E309A1">
            <w:pPr>
              <w:jc w:val="both"/>
              <w:rPr>
                <w:rFonts w:eastAsia="仿宋_GB2312"/>
                <w:bCs/>
                <w:sz w:val="24"/>
                <w:szCs w:val="24"/>
              </w:rPr>
            </w:pPr>
          </w:p>
        </w:tc>
        <w:tc>
          <w:tcPr>
            <w:tcW w:w="236" w:type="dxa"/>
            <w:tcBorders>
              <w:top w:val="nil"/>
              <w:left w:val="nil"/>
              <w:bottom w:val="nil"/>
              <w:right w:val="nil"/>
            </w:tcBorders>
            <w:noWrap/>
            <w:vAlign w:val="bottom"/>
          </w:tcPr>
          <w:p w14:paraId="1DF52BD9">
            <w:pPr>
              <w:widowControl/>
              <w:jc w:val="center"/>
              <w:rPr>
                <w:rFonts w:hint="eastAsia" w:ascii="等线" w:hAnsi="等线" w:eastAsia="等线" w:cs="宋体"/>
                <w:sz w:val="22"/>
                <w:szCs w:val="22"/>
              </w:rPr>
            </w:pPr>
          </w:p>
        </w:tc>
      </w:tr>
      <w:tr w14:paraId="7371157D">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4F4CBE41">
            <w:pPr>
              <w:jc w:val="center"/>
              <w:rPr>
                <w:rFonts w:eastAsia="仿宋_GB2312"/>
                <w:bCs/>
                <w:sz w:val="24"/>
                <w:szCs w:val="24"/>
              </w:rPr>
            </w:pPr>
            <w:r>
              <w:rPr>
                <w:rFonts w:hint="eastAsia" w:eastAsia="仿宋_GB2312"/>
                <w:bCs/>
                <w:sz w:val="24"/>
                <w:szCs w:val="24"/>
              </w:rPr>
              <w:t>1</w:t>
            </w:r>
          </w:p>
        </w:tc>
        <w:tc>
          <w:tcPr>
            <w:tcW w:w="2854" w:type="dxa"/>
            <w:tcBorders>
              <w:top w:val="nil"/>
              <w:left w:val="nil"/>
              <w:bottom w:val="single" w:color="auto" w:sz="4" w:space="0"/>
              <w:right w:val="single" w:color="auto" w:sz="4" w:space="0"/>
            </w:tcBorders>
            <w:vAlign w:val="center"/>
          </w:tcPr>
          <w:p w14:paraId="4E2BA385">
            <w:pPr>
              <w:jc w:val="both"/>
              <w:rPr>
                <w:rFonts w:eastAsia="仿宋_GB2312"/>
                <w:bCs/>
                <w:sz w:val="24"/>
                <w:szCs w:val="24"/>
              </w:rPr>
            </w:pPr>
            <w:r>
              <w:rPr>
                <w:rFonts w:hint="eastAsia" w:eastAsia="仿宋_GB2312"/>
                <w:bCs/>
                <w:sz w:val="24"/>
                <w:szCs w:val="24"/>
              </w:rPr>
              <w:t>浙江汉遂矿业有限公司遂昌德</w:t>
            </w:r>
            <w:r>
              <w:rPr>
                <w:rFonts w:hint="eastAsia" w:ascii="仿宋_GB2312" w:hAnsi="仿宋_GB2312" w:eastAsia="仿宋_GB2312" w:cs="仿宋_GB2312"/>
                <w:bCs/>
                <w:sz w:val="24"/>
                <w:szCs w:val="24"/>
              </w:rPr>
              <w:t>氟矿业有限公司</w:t>
            </w:r>
            <w:r>
              <w:rPr>
                <w:rFonts w:hint="eastAsia" w:eastAsia="仿宋_GB2312"/>
                <w:bCs/>
                <w:sz w:val="24"/>
                <w:szCs w:val="24"/>
              </w:rPr>
              <w:t>内久尖萤石矿</w:t>
            </w:r>
          </w:p>
        </w:tc>
        <w:tc>
          <w:tcPr>
            <w:tcW w:w="935" w:type="dxa"/>
            <w:tcBorders>
              <w:top w:val="nil"/>
              <w:left w:val="nil"/>
              <w:bottom w:val="single" w:color="auto" w:sz="4" w:space="0"/>
              <w:right w:val="single" w:color="auto" w:sz="4" w:space="0"/>
            </w:tcBorders>
            <w:noWrap/>
            <w:vAlign w:val="center"/>
          </w:tcPr>
          <w:p w14:paraId="7B2D1255">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0B255219">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31CB4F71">
            <w:pPr>
              <w:jc w:val="center"/>
              <w:rPr>
                <w:rFonts w:eastAsia="仿宋_GB2312"/>
                <w:bCs/>
                <w:sz w:val="24"/>
                <w:szCs w:val="24"/>
              </w:rPr>
            </w:pPr>
            <w:r>
              <w:rPr>
                <w:rFonts w:hint="eastAsia" w:eastAsia="仿宋_GB2312"/>
                <w:bCs/>
                <w:sz w:val="24"/>
                <w:szCs w:val="24"/>
              </w:rPr>
              <w:t>3.5万吨/年</w:t>
            </w:r>
          </w:p>
        </w:tc>
        <w:tc>
          <w:tcPr>
            <w:tcW w:w="1272" w:type="dxa"/>
            <w:tcBorders>
              <w:top w:val="nil"/>
              <w:left w:val="nil"/>
              <w:bottom w:val="single" w:color="auto" w:sz="4" w:space="0"/>
              <w:right w:val="single" w:color="auto" w:sz="4" w:space="0"/>
            </w:tcBorders>
            <w:noWrap/>
            <w:vAlign w:val="center"/>
          </w:tcPr>
          <w:p w14:paraId="5FB36B08">
            <w:pPr>
              <w:jc w:val="center"/>
              <w:rPr>
                <w:rFonts w:eastAsia="仿宋_GB2312"/>
                <w:bCs/>
                <w:sz w:val="24"/>
                <w:szCs w:val="24"/>
              </w:rPr>
            </w:pPr>
            <w:bookmarkStart w:id="2" w:name="OLE_LINK12"/>
            <w:r>
              <w:rPr>
                <w:rFonts w:hint="eastAsia" w:eastAsia="仿宋_GB2312"/>
                <w:bCs/>
                <w:sz w:val="24"/>
                <w:szCs w:val="24"/>
              </w:rPr>
              <w:t>停产整改</w:t>
            </w:r>
            <w:bookmarkEnd w:id="2"/>
            <w:r>
              <w:rPr>
                <w:rFonts w:hint="eastAsia" w:eastAsia="仿宋_GB2312"/>
                <w:bCs/>
                <w:sz w:val="24"/>
                <w:szCs w:val="24"/>
              </w:rPr>
              <w:t>（安全生产许可证延期换证阶段）</w:t>
            </w:r>
          </w:p>
        </w:tc>
        <w:tc>
          <w:tcPr>
            <w:tcW w:w="236" w:type="dxa"/>
            <w:vAlign w:val="center"/>
          </w:tcPr>
          <w:p w14:paraId="011DE89A">
            <w:pPr>
              <w:widowControl/>
              <w:rPr>
                <w:rFonts w:eastAsia="Times New Roman"/>
              </w:rPr>
            </w:pPr>
          </w:p>
        </w:tc>
      </w:tr>
      <w:tr w14:paraId="753678B1">
        <w:trPr>
          <w:trHeight w:val="1020" w:hRule="atLeast"/>
        </w:trPr>
        <w:tc>
          <w:tcPr>
            <w:tcW w:w="697" w:type="dxa"/>
            <w:tcBorders>
              <w:top w:val="nil"/>
              <w:left w:val="single" w:color="auto" w:sz="4" w:space="0"/>
              <w:bottom w:val="single" w:color="auto" w:sz="4" w:space="0"/>
              <w:right w:val="single" w:color="auto" w:sz="4" w:space="0"/>
            </w:tcBorders>
            <w:noWrap/>
            <w:vAlign w:val="center"/>
          </w:tcPr>
          <w:p w14:paraId="5452496E">
            <w:pPr>
              <w:jc w:val="center"/>
              <w:rPr>
                <w:rFonts w:eastAsia="仿宋_GB2312"/>
                <w:bCs/>
                <w:sz w:val="24"/>
                <w:szCs w:val="24"/>
              </w:rPr>
            </w:pPr>
            <w:r>
              <w:rPr>
                <w:rFonts w:hint="eastAsia" w:eastAsia="仿宋_GB2312"/>
                <w:bCs/>
                <w:sz w:val="24"/>
                <w:szCs w:val="24"/>
              </w:rPr>
              <w:t>2</w:t>
            </w:r>
          </w:p>
        </w:tc>
        <w:tc>
          <w:tcPr>
            <w:tcW w:w="2854" w:type="dxa"/>
            <w:tcBorders>
              <w:top w:val="nil"/>
              <w:left w:val="nil"/>
              <w:bottom w:val="single" w:color="auto" w:sz="4" w:space="0"/>
              <w:right w:val="single" w:color="auto" w:sz="4" w:space="0"/>
            </w:tcBorders>
            <w:vAlign w:val="center"/>
          </w:tcPr>
          <w:p w14:paraId="73D7F16D">
            <w:pPr>
              <w:jc w:val="both"/>
              <w:rPr>
                <w:rFonts w:eastAsia="仿宋_GB2312"/>
                <w:bCs/>
                <w:sz w:val="24"/>
                <w:szCs w:val="24"/>
              </w:rPr>
            </w:pPr>
            <w:r>
              <w:rPr>
                <w:rFonts w:hint="eastAsia" w:eastAsia="仿宋_GB2312"/>
                <w:bCs/>
                <w:sz w:val="24"/>
                <w:szCs w:val="24"/>
              </w:rPr>
              <w:t>浙江大金庄矿业有限公司浙江省遂昌县柘岱口乡横坑坪萤石矿</w:t>
            </w:r>
          </w:p>
        </w:tc>
        <w:tc>
          <w:tcPr>
            <w:tcW w:w="935" w:type="dxa"/>
            <w:tcBorders>
              <w:top w:val="nil"/>
              <w:left w:val="nil"/>
              <w:bottom w:val="single" w:color="auto" w:sz="4" w:space="0"/>
              <w:right w:val="single" w:color="auto" w:sz="4" w:space="0"/>
            </w:tcBorders>
            <w:noWrap/>
            <w:vAlign w:val="center"/>
          </w:tcPr>
          <w:p w14:paraId="3E55D517">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7DDC9BCF">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135246D8">
            <w:pPr>
              <w:jc w:val="center"/>
              <w:rPr>
                <w:rFonts w:eastAsia="仿宋_GB2312"/>
                <w:bCs/>
                <w:sz w:val="24"/>
                <w:szCs w:val="24"/>
              </w:rPr>
            </w:pPr>
            <w:r>
              <w:rPr>
                <w:rFonts w:hint="eastAsia" w:eastAsia="仿宋_GB2312"/>
                <w:bCs/>
                <w:sz w:val="24"/>
                <w:szCs w:val="24"/>
              </w:rPr>
              <w:t>15万吨/年</w:t>
            </w:r>
          </w:p>
        </w:tc>
        <w:tc>
          <w:tcPr>
            <w:tcW w:w="1272" w:type="dxa"/>
            <w:tcBorders>
              <w:top w:val="nil"/>
              <w:left w:val="nil"/>
              <w:bottom w:val="single" w:color="auto" w:sz="4" w:space="0"/>
              <w:right w:val="single" w:color="auto" w:sz="4" w:space="0"/>
            </w:tcBorders>
            <w:noWrap/>
            <w:vAlign w:val="center"/>
          </w:tcPr>
          <w:p w14:paraId="56747CA6">
            <w:pPr>
              <w:jc w:val="center"/>
              <w:rPr>
                <w:rFonts w:eastAsia="仿宋_GB2312"/>
                <w:bCs/>
                <w:sz w:val="24"/>
                <w:szCs w:val="24"/>
              </w:rPr>
            </w:pPr>
            <w:r>
              <w:rPr>
                <w:rFonts w:hint="eastAsia" w:eastAsia="仿宋_GB2312"/>
                <w:bCs/>
                <w:sz w:val="24"/>
                <w:szCs w:val="24"/>
              </w:rPr>
              <w:t>正常生产</w:t>
            </w:r>
          </w:p>
        </w:tc>
        <w:tc>
          <w:tcPr>
            <w:tcW w:w="236" w:type="dxa"/>
            <w:vAlign w:val="center"/>
          </w:tcPr>
          <w:p w14:paraId="4DDEBE47">
            <w:pPr>
              <w:widowControl/>
              <w:rPr>
                <w:rFonts w:eastAsia="Times New Roman"/>
              </w:rPr>
            </w:pPr>
          </w:p>
        </w:tc>
      </w:tr>
      <w:tr w14:paraId="124DE8EC">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45C10268">
            <w:pPr>
              <w:jc w:val="center"/>
              <w:rPr>
                <w:rFonts w:eastAsia="仿宋_GB2312"/>
                <w:bCs/>
                <w:sz w:val="24"/>
                <w:szCs w:val="24"/>
              </w:rPr>
            </w:pPr>
            <w:r>
              <w:rPr>
                <w:rFonts w:hint="eastAsia" w:eastAsia="仿宋_GB2312"/>
                <w:bCs/>
                <w:sz w:val="24"/>
                <w:szCs w:val="24"/>
              </w:rPr>
              <w:t>3</w:t>
            </w:r>
          </w:p>
        </w:tc>
        <w:tc>
          <w:tcPr>
            <w:tcW w:w="2854" w:type="dxa"/>
            <w:tcBorders>
              <w:top w:val="nil"/>
              <w:left w:val="nil"/>
              <w:bottom w:val="single" w:color="auto" w:sz="4" w:space="0"/>
              <w:right w:val="single" w:color="auto" w:sz="4" w:space="0"/>
            </w:tcBorders>
            <w:vAlign w:val="center"/>
          </w:tcPr>
          <w:p w14:paraId="18861D09">
            <w:pPr>
              <w:jc w:val="both"/>
              <w:rPr>
                <w:rFonts w:eastAsia="仿宋_GB2312"/>
                <w:bCs/>
                <w:sz w:val="24"/>
                <w:szCs w:val="24"/>
              </w:rPr>
            </w:pPr>
            <w:r>
              <w:rPr>
                <w:rFonts w:hint="eastAsia" w:eastAsia="仿宋_GB2312"/>
                <w:bCs/>
                <w:sz w:val="24"/>
                <w:szCs w:val="24"/>
              </w:rPr>
              <w:t>遂昌县湖山萤石矿</w:t>
            </w:r>
          </w:p>
        </w:tc>
        <w:tc>
          <w:tcPr>
            <w:tcW w:w="935" w:type="dxa"/>
            <w:tcBorders>
              <w:top w:val="nil"/>
              <w:left w:val="nil"/>
              <w:bottom w:val="single" w:color="auto" w:sz="4" w:space="0"/>
              <w:right w:val="single" w:color="auto" w:sz="4" w:space="0"/>
            </w:tcBorders>
            <w:noWrap/>
            <w:vAlign w:val="center"/>
          </w:tcPr>
          <w:p w14:paraId="6C14A028">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6E512014">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3948A1B7">
            <w:pPr>
              <w:jc w:val="center"/>
              <w:rPr>
                <w:rFonts w:eastAsia="仿宋_GB2312"/>
                <w:bCs/>
                <w:sz w:val="24"/>
                <w:szCs w:val="24"/>
              </w:rPr>
            </w:pPr>
            <w:r>
              <w:rPr>
                <w:rFonts w:hint="eastAsia" w:eastAsia="仿宋_GB2312"/>
                <w:bCs/>
                <w:sz w:val="24"/>
                <w:szCs w:val="24"/>
              </w:rPr>
              <w:t>10万吨/年</w:t>
            </w:r>
          </w:p>
        </w:tc>
        <w:tc>
          <w:tcPr>
            <w:tcW w:w="1272" w:type="dxa"/>
            <w:tcBorders>
              <w:top w:val="nil"/>
              <w:left w:val="nil"/>
              <w:bottom w:val="single" w:color="auto" w:sz="4" w:space="0"/>
              <w:right w:val="single" w:color="auto" w:sz="4" w:space="0"/>
            </w:tcBorders>
            <w:noWrap/>
            <w:vAlign w:val="center"/>
          </w:tcPr>
          <w:p w14:paraId="3270CC76">
            <w:pPr>
              <w:jc w:val="center"/>
              <w:rPr>
                <w:rFonts w:eastAsia="仿宋_GB2312"/>
                <w:bCs/>
                <w:sz w:val="24"/>
                <w:szCs w:val="24"/>
              </w:rPr>
            </w:pPr>
            <w:r>
              <w:rPr>
                <w:rFonts w:hint="eastAsia" w:eastAsia="仿宋_GB2312"/>
                <w:bCs/>
                <w:sz w:val="24"/>
                <w:szCs w:val="24"/>
              </w:rPr>
              <w:t>正常生产</w:t>
            </w:r>
          </w:p>
        </w:tc>
        <w:tc>
          <w:tcPr>
            <w:tcW w:w="236" w:type="dxa"/>
            <w:vAlign w:val="center"/>
          </w:tcPr>
          <w:p w14:paraId="2C60A2AF">
            <w:pPr>
              <w:widowControl/>
              <w:rPr>
                <w:rFonts w:eastAsia="Times New Roman"/>
              </w:rPr>
            </w:pPr>
          </w:p>
        </w:tc>
      </w:tr>
      <w:tr w14:paraId="5EBEF86B">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51ED54F0">
            <w:pPr>
              <w:jc w:val="center"/>
              <w:rPr>
                <w:rFonts w:eastAsia="仿宋_GB2312"/>
                <w:bCs/>
                <w:sz w:val="24"/>
                <w:szCs w:val="24"/>
              </w:rPr>
            </w:pPr>
            <w:r>
              <w:rPr>
                <w:rFonts w:hint="eastAsia" w:eastAsia="仿宋_GB2312"/>
                <w:bCs/>
                <w:sz w:val="24"/>
                <w:szCs w:val="24"/>
              </w:rPr>
              <w:t>4</w:t>
            </w:r>
          </w:p>
        </w:tc>
        <w:tc>
          <w:tcPr>
            <w:tcW w:w="2854" w:type="dxa"/>
            <w:tcBorders>
              <w:top w:val="nil"/>
              <w:left w:val="nil"/>
              <w:bottom w:val="single" w:color="auto" w:sz="4" w:space="0"/>
              <w:right w:val="single" w:color="auto" w:sz="4" w:space="0"/>
            </w:tcBorders>
            <w:vAlign w:val="center"/>
          </w:tcPr>
          <w:p w14:paraId="18E065AA">
            <w:pPr>
              <w:jc w:val="both"/>
              <w:rPr>
                <w:rFonts w:eastAsia="仿宋_GB2312"/>
                <w:bCs/>
                <w:sz w:val="24"/>
                <w:szCs w:val="24"/>
              </w:rPr>
            </w:pPr>
            <w:r>
              <w:rPr>
                <w:rFonts w:hint="eastAsia" w:eastAsia="仿宋_GB2312"/>
                <w:bCs/>
                <w:sz w:val="24"/>
                <w:szCs w:val="24"/>
              </w:rPr>
              <w:t>浙江遂昌金矿有限公司</w:t>
            </w:r>
            <w:r>
              <w:rPr>
                <w:rFonts w:hint="eastAsia" w:eastAsia="仿宋_GB2312"/>
                <w:bCs/>
                <w:sz w:val="24"/>
                <w:szCs w:val="24"/>
              </w:rPr>
              <w:br w:type="textWrapping"/>
            </w:r>
            <w:r>
              <w:rPr>
                <w:rFonts w:hint="eastAsia" w:eastAsia="仿宋_GB2312"/>
                <w:bCs/>
                <w:sz w:val="24"/>
                <w:szCs w:val="24"/>
              </w:rPr>
              <w:t>花园岭矿</w:t>
            </w:r>
          </w:p>
        </w:tc>
        <w:tc>
          <w:tcPr>
            <w:tcW w:w="935" w:type="dxa"/>
            <w:tcBorders>
              <w:top w:val="nil"/>
              <w:left w:val="nil"/>
              <w:bottom w:val="single" w:color="auto" w:sz="4" w:space="0"/>
              <w:right w:val="single" w:color="auto" w:sz="4" w:space="0"/>
            </w:tcBorders>
            <w:noWrap/>
            <w:vAlign w:val="center"/>
          </w:tcPr>
          <w:p w14:paraId="73A8E280">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vAlign w:val="center"/>
          </w:tcPr>
          <w:p w14:paraId="31064E19">
            <w:pPr>
              <w:jc w:val="center"/>
              <w:rPr>
                <w:rFonts w:eastAsia="仿宋_GB2312"/>
                <w:bCs/>
                <w:sz w:val="24"/>
                <w:szCs w:val="24"/>
              </w:rPr>
            </w:pPr>
            <w:r>
              <w:rPr>
                <w:rFonts w:hint="eastAsia" w:eastAsia="仿宋_GB2312"/>
                <w:bCs/>
                <w:sz w:val="24"/>
                <w:szCs w:val="24"/>
              </w:rPr>
              <w:t>金、银、铅锌、硫矿</w:t>
            </w:r>
          </w:p>
        </w:tc>
        <w:tc>
          <w:tcPr>
            <w:tcW w:w="989" w:type="dxa"/>
            <w:tcBorders>
              <w:top w:val="nil"/>
              <w:left w:val="nil"/>
              <w:bottom w:val="single" w:color="auto" w:sz="4" w:space="0"/>
              <w:right w:val="single" w:color="auto" w:sz="4" w:space="0"/>
            </w:tcBorders>
            <w:vAlign w:val="center"/>
          </w:tcPr>
          <w:p w14:paraId="59EEE9D3">
            <w:pPr>
              <w:jc w:val="center"/>
              <w:rPr>
                <w:rFonts w:eastAsia="仿宋_GB2312"/>
                <w:bCs/>
                <w:sz w:val="24"/>
                <w:szCs w:val="24"/>
              </w:rPr>
            </w:pPr>
            <w:r>
              <w:rPr>
                <w:rFonts w:hint="eastAsia" w:eastAsia="仿宋_GB2312"/>
                <w:bCs/>
                <w:sz w:val="24"/>
                <w:szCs w:val="24"/>
              </w:rPr>
              <w:t>9.8万吨/年</w:t>
            </w:r>
          </w:p>
        </w:tc>
        <w:tc>
          <w:tcPr>
            <w:tcW w:w="1272" w:type="dxa"/>
            <w:tcBorders>
              <w:top w:val="nil"/>
              <w:left w:val="nil"/>
              <w:bottom w:val="single" w:color="auto" w:sz="4" w:space="0"/>
              <w:right w:val="single" w:color="auto" w:sz="4" w:space="0"/>
            </w:tcBorders>
            <w:noWrap/>
            <w:vAlign w:val="center"/>
          </w:tcPr>
          <w:p w14:paraId="3D8D2E33">
            <w:pPr>
              <w:jc w:val="center"/>
              <w:rPr>
                <w:rFonts w:eastAsia="仿宋_GB2312"/>
                <w:bCs/>
                <w:sz w:val="24"/>
                <w:szCs w:val="24"/>
              </w:rPr>
            </w:pPr>
            <w:r>
              <w:rPr>
                <w:rFonts w:hint="eastAsia" w:eastAsia="仿宋_GB2312"/>
                <w:bCs/>
                <w:sz w:val="24"/>
                <w:szCs w:val="24"/>
              </w:rPr>
              <w:t>正常生产</w:t>
            </w:r>
          </w:p>
        </w:tc>
        <w:tc>
          <w:tcPr>
            <w:tcW w:w="236" w:type="dxa"/>
            <w:vAlign w:val="center"/>
          </w:tcPr>
          <w:p w14:paraId="6C323F9A">
            <w:pPr>
              <w:widowControl/>
              <w:rPr>
                <w:rFonts w:eastAsia="Times New Roman"/>
              </w:rPr>
            </w:pPr>
          </w:p>
        </w:tc>
      </w:tr>
      <w:tr w14:paraId="490D85F6">
        <w:trPr>
          <w:trHeight w:val="1060" w:hRule="atLeast"/>
        </w:trPr>
        <w:tc>
          <w:tcPr>
            <w:tcW w:w="697" w:type="dxa"/>
            <w:tcBorders>
              <w:top w:val="nil"/>
              <w:left w:val="single" w:color="auto" w:sz="4" w:space="0"/>
              <w:bottom w:val="single" w:color="auto" w:sz="4" w:space="0"/>
              <w:right w:val="single" w:color="auto" w:sz="4" w:space="0"/>
            </w:tcBorders>
            <w:noWrap/>
            <w:vAlign w:val="center"/>
          </w:tcPr>
          <w:p w14:paraId="5F4D1C47">
            <w:pPr>
              <w:jc w:val="center"/>
              <w:rPr>
                <w:rFonts w:eastAsia="仿宋_GB2312"/>
                <w:bCs/>
                <w:sz w:val="24"/>
                <w:szCs w:val="24"/>
              </w:rPr>
            </w:pPr>
            <w:r>
              <w:rPr>
                <w:rFonts w:hint="eastAsia" w:eastAsia="仿宋_GB2312"/>
                <w:bCs/>
                <w:sz w:val="24"/>
                <w:szCs w:val="24"/>
              </w:rPr>
              <w:t>5</w:t>
            </w:r>
          </w:p>
        </w:tc>
        <w:tc>
          <w:tcPr>
            <w:tcW w:w="2854" w:type="dxa"/>
            <w:tcBorders>
              <w:top w:val="nil"/>
              <w:left w:val="nil"/>
              <w:bottom w:val="single" w:color="auto" w:sz="4" w:space="0"/>
              <w:right w:val="single" w:color="auto" w:sz="4" w:space="0"/>
            </w:tcBorders>
            <w:vAlign w:val="center"/>
          </w:tcPr>
          <w:p w14:paraId="2C42AFDA">
            <w:pPr>
              <w:jc w:val="both"/>
              <w:rPr>
                <w:rFonts w:eastAsia="仿宋_GB2312"/>
                <w:bCs/>
                <w:sz w:val="24"/>
                <w:szCs w:val="24"/>
              </w:rPr>
            </w:pPr>
            <w:r>
              <w:rPr>
                <w:rFonts w:hint="eastAsia" w:eastAsia="仿宋_GB2312"/>
                <w:bCs/>
                <w:sz w:val="24"/>
                <w:szCs w:val="24"/>
              </w:rPr>
              <w:t>浙江莹鑫矿业有限公司浙江省遂昌县湖山乡大柳沙萤石矿</w:t>
            </w:r>
          </w:p>
        </w:tc>
        <w:tc>
          <w:tcPr>
            <w:tcW w:w="935" w:type="dxa"/>
            <w:tcBorders>
              <w:top w:val="nil"/>
              <w:left w:val="nil"/>
              <w:bottom w:val="single" w:color="auto" w:sz="4" w:space="0"/>
              <w:right w:val="single" w:color="auto" w:sz="4" w:space="0"/>
            </w:tcBorders>
            <w:noWrap/>
            <w:vAlign w:val="center"/>
          </w:tcPr>
          <w:p w14:paraId="156112CB">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481AABFE">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42451C98">
            <w:pPr>
              <w:jc w:val="center"/>
              <w:rPr>
                <w:rFonts w:eastAsia="仿宋_GB2312"/>
                <w:bCs/>
                <w:sz w:val="24"/>
                <w:szCs w:val="24"/>
              </w:rPr>
            </w:pPr>
            <w:r>
              <w:rPr>
                <w:rFonts w:hint="eastAsia" w:eastAsia="仿宋_GB2312"/>
                <w:bCs/>
                <w:sz w:val="24"/>
                <w:szCs w:val="24"/>
              </w:rPr>
              <w:t>5万吨/年</w:t>
            </w:r>
          </w:p>
        </w:tc>
        <w:tc>
          <w:tcPr>
            <w:tcW w:w="1272" w:type="dxa"/>
            <w:tcBorders>
              <w:top w:val="nil"/>
              <w:left w:val="nil"/>
              <w:bottom w:val="single" w:color="auto" w:sz="4" w:space="0"/>
              <w:right w:val="single" w:color="auto" w:sz="4" w:space="0"/>
            </w:tcBorders>
            <w:noWrap/>
            <w:vAlign w:val="center"/>
          </w:tcPr>
          <w:p w14:paraId="7066CD94">
            <w:pPr>
              <w:jc w:val="center"/>
              <w:rPr>
                <w:rFonts w:eastAsia="仿宋_GB2312"/>
                <w:bCs/>
                <w:sz w:val="24"/>
                <w:szCs w:val="24"/>
              </w:rPr>
            </w:pPr>
            <w:r>
              <w:rPr>
                <w:rFonts w:hint="eastAsia" w:eastAsia="仿宋_GB2312"/>
                <w:bCs/>
                <w:sz w:val="24"/>
                <w:szCs w:val="24"/>
              </w:rPr>
              <w:t>正常生产</w:t>
            </w:r>
          </w:p>
        </w:tc>
        <w:tc>
          <w:tcPr>
            <w:tcW w:w="236" w:type="dxa"/>
            <w:vAlign w:val="center"/>
          </w:tcPr>
          <w:p w14:paraId="32E9A938">
            <w:pPr>
              <w:widowControl/>
              <w:rPr>
                <w:rFonts w:eastAsia="Times New Roman"/>
              </w:rPr>
            </w:pPr>
          </w:p>
        </w:tc>
      </w:tr>
      <w:tr w14:paraId="3D60A691">
        <w:trPr>
          <w:trHeight w:val="1000" w:hRule="atLeast"/>
        </w:trPr>
        <w:tc>
          <w:tcPr>
            <w:tcW w:w="697" w:type="dxa"/>
            <w:tcBorders>
              <w:top w:val="nil"/>
              <w:left w:val="single" w:color="auto" w:sz="4" w:space="0"/>
              <w:bottom w:val="single" w:color="auto" w:sz="4" w:space="0"/>
              <w:right w:val="single" w:color="auto" w:sz="4" w:space="0"/>
            </w:tcBorders>
            <w:noWrap/>
            <w:vAlign w:val="center"/>
          </w:tcPr>
          <w:p w14:paraId="26D9062F">
            <w:pPr>
              <w:jc w:val="center"/>
              <w:rPr>
                <w:rFonts w:eastAsia="仿宋_GB2312"/>
                <w:bCs/>
                <w:sz w:val="24"/>
                <w:szCs w:val="24"/>
              </w:rPr>
            </w:pPr>
            <w:r>
              <w:rPr>
                <w:rFonts w:hint="eastAsia" w:eastAsia="仿宋_GB2312"/>
                <w:bCs/>
                <w:sz w:val="24"/>
                <w:szCs w:val="24"/>
              </w:rPr>
              <w:t>6</w:t>
            </w:r>
          </w:p>
        </w:tc>
        <w:tc>
          <w:tcPr>
            <w:tcW w:w="2854" w:type="dxa"/>
            <w:tcBorders>
              <w:top w:val="nil"/>
              <w:left w:val="nil"/>
              <w:bottom w:val="single" w:color="auto" w:sz="4" w:space="0"/>
              <w:right w:val="single" w:color="auto" w:sz="4" w:space="0"/>
            </w:tcBorders>
            <w:vAlign w:val="center"/>
          </w:tcPr>
          <w:p w14:paraId="6ECF0E6A">
            <w:pPr>
              <w:jc w:val="both"/>
              <w:rPr>
                <w:rFonts w:eastAsia="仿宋_GB2312"/>
                <w:bCs/>
                <w:sz w:val="24"/>
                <w:szCs w:val="24"/>
              </w:rPr>
            </w:pPr>
            <w:r>
              <w:rPr>
                <w:rFonts w:hint="eastAsia" w:eastAsia="仿宋_GB2312"/>
                <w:bCs/>
                <w:sz w:val="24"/>
                <w:szCs w:val="24"/>
              </w:rPr>
              <w:t>浙江遂昌正中萤石精选有限公司浙江省遂昌县云峰镇处坞萤石矿</w:t>
            </w:r>
          </w:p>
        </w:tc>
        <w:tc>
          <w:tcPr>
            <w:tcW w:w="935" w:type="dxa"/>
            <w:tcBorders>
              <w:top w:val="nil"/>
              <w:left w:val="nil"/>
              <w:bottom w:val="single" w:color="auto" w:sz="4" w:space="0"/>
              <w:right w:val="single" w:color="auto" w:sz="4" w:space="0"/>
            </w:tcBorders>
            <w:noWrap/>
            <w:vAlign w:val="center"/>
          </w:tcPr>
          <w:p w14:paraId="1868F471">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0D765750">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10005DC0">
            <w:pPr>
              <w:jc w:val="center"/>
              <w:rPr>
                <w:rFonts w:eastAsia="仿宋_GB2312"/>
                <w:bCs/>
                <w:sz w:val="24"/>
                <w:szCs w:val="24"/>
              </w:rPr>
            </w:pPr>
            <w:r>
              <w:rPr>
                <w:rFonts w:hint="eastAsia" w:eastAsia="仿宋_GB2312"/>
                <w:bCs/>
                <w:sz w:val="24"/>
                <w:szCs w:val="24"/>
              </w:rPr>
              <w:t>5万吨/年</w:t>
            </w:r>
          </w:p>
        </w:tc>
        <w:tc>
          <w:tcPr>
            <w:tcW w:w="1272" w:type="dxa"/>
            <w:tcBorders>
              <w:top w:val="nil"/>
              <w:left w:val="nil"/>
              <w:bottom w:val="single" w:color="auto" w:sz="4" w:space="0"/>
              <w:right w:val="single" w:color="auto" w:sz="4" w:space="0"/>
            </w:tcBorders>
            <w:noWrap/>
            <w:vAlign w:val="center"/>
          </w:tcPr>
          <w:p w14:paraId="79193F60">
            <w:pPr>
              <w:jc w:val="center"/>
              <w:rPr>
                <w:rFonts w:eastAsia="仿宋_GB2312"/>
                <w:bCs/>
                <w:sz w:val="24"/>
                <w:szCs w:val="24"/>
              </w:rPr>
            </w:pPr>
            <w:r>
              <w:rPr>
                <w:rFonts w:hint="eastAsia" w:eastAsia="仿宋_GB2312"/>
                <w:bCs/>
                <w:sz w:val="24"/>
                <w:szCs w:val="24"/>
              </w:rPr>
              <w:t>正常生产</w:t>
            </w:r>
          </w:p>
        </w:tc>
        <w:tc>
          <w:tcPr>
            <w:tcW w:w="236" w:type="dxa"/>
            <w:vAlign w:val="center"/>
          </w:tcPr>
          <w:p w14:paraId="58A141A8">
            <w:pPr>
              <w:widowControl/>
              <w:rPr>
                <w:rFonts w:eastAsia="Times New Roman"/>
              </w:rPr>
            </w:pPr>
          </w:p>
        </w:tc>
      </w:tr>
      <w:tr w14:paraId="78AD4C64">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3FE2EF07">
            <w:pPr>
              <w:jc w:val="center"/>
              <w:rPr>
                <w:rFonts w:eastAsia="仿宋_GB2312"/>
                <w:bCs/>
                <w:sz w:val="24"/>
                <w:szCs w:val="24"/>
              </w:rPr>
            </w:pPr>
            <w:r>
              <w:rPr>
                <w:rFonts w:hint="eastAsia" w:eastAsia="仿宋_GB2312"/>
                <w:bCs/>
                <w:sz w:val="24"/>
                <w:szCs w:val="24"/>
              </w:rPr>
              <w:t>7</w:t>
            </w:r>
          </w:p>
        </w:tc>
        <w:tc>
          <w:tcPr>
            <w:tcW w:w="2854" w:type="dxa"/>
            <w:tcBorders>
              <w:top w:val="nil"/>
              <w:left w:val="nil"/>
              <w:bottom w:val="single" w:color="auto" w:sz="4" w:space="0"/>
              <w:right w:val="single" w:color="auto" w:sz="4" w:space="0"/>
            </w:tcBorders>
            <w:vAlign w:val="center"/>
          </w:tcPr>
          <w:p w14:paraId="7FF8BE06">
            <w:pPr>
              <w:jc w:val="both"/>
              <w:rPr>
                <w:rFonts w:eastAsia="仿宋_GB2312"/>
                <w:bCs/>
                <w:sz w:val="24"/>
                <w:szCs w:val="24"/>
              </w:rPr>
            </w:pPr>
            <w:r>
              <w:rPr>
                <w:rFonts w:hint="eastAsia" w:eastAsia="仿宋_GB2312"/>
                <w:bCs/>
                <w:sz w:val="24"/>
                <w:szCs w:val="24"/>
              </w:rPr>
              <w:t>浙江遂昌正中萤石精选有限公司遂昌县三仁坑口萤石矿</w:t>
            </w:r>
          </w:p>
        </w:tc>
        <w:tc>
          <w:tcPr>
            <w:tcW w:w="935" w:type="dxa"/>
            <w:tcBorders>
              <w:top w:val="nil"/>
              <w:left w:val="nil"/>
              <w:bottom w:val="single" w:color="auto" w:sz="4" w:space="0"/>
              <w:right w:val="single" w:color="auto" w:sz="4" w:space="0"/>
            </w:tcBorders>
            <w:noWrap/>
            <w:vAlign w:val="center"/>
          </w:tcPr>
          <w:p w14:paraId="049EEE42">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60271A0A">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571ED716">
            <w:pPr>
              <w:jc w:val="center"/>
              <w:rPr>
                <w:rFonts w:eastAsia="仿宋_GB2312"/>
                <w:bCs/>
                <w:sz w:val="24"/>
                <w:szCs w:val="24"/>
              </w:rPr>
            </w:pPr>
            <w:r>
              <w:rPr>
                <w:rFonts w:hint="eastAsia" w:eastAsia="仿宋_GB2312"/>
                <w:bCs/>
                <w:sz w:val="24"/>
                <w:szCs w:val="24"/>
              </w:rPr>
              <w:t>10万吨/年</w:t>
            </w:r>
          </w:p>
        </w:tc>
        <w:tc>
          <w:tcPr>
            <w:tcW w:w="1272" w:type="dxa"/>
            <w:tcBorders>
              <w:top w:val="nil"/>
              <w:left w:val="nil"/>
              <w:bottom w:val="single" w:color="auto" w:sz="4" w:space="0"/>
              <w:right w:val="single" w:color="auto" w:sz="4" w:space="0"/>
            </w:tcBorders>
            <w:noWrap/>
            <w:vAlign w:val="center"/>
          </w:tcPr>
          <w:p w14:paraId="552E3E95">
            <w:pPr>
              <w:jc w:val="center"/>
              <w:rPr>
                <w:rFonts w:eastAsia="仿宋_GB2312"/>
                <w:bCs/>
                <w:sz w:val="24"/>
                <w:szCs w:val="24"/>
              </w:rPr>
            </w:pPr>
            <w:r>
              <w:rPr>
                <w:rFonts w:hint="eastAsia" w:eastAsia="仿宋_GB2312"/>
                <w:bCs/>
                <w:sz w:val="24"/>
                <w:szCs w:val="24"/>
              </w:rPr>
              <w:t>停产（采矿证到期换证）</w:t>
            </w:r>
          </w:p>
        </w:tc>
        <w:tc>
          <w:tcPr>
            <w:tcW w:w="236" w:type="dxa"/>
            <w:vAlign w:val="center"/>
          </w:tcPr>
          <w:p w14:paraId="6A23C0EE">
            <w:pPr>
              <w:widowControl/>
              <w:rPr>
                <w:rFonts w:eastAsia="Times New Roman"/>
              </w:rPr>
            </w:pPr>
          </w:p>
        </w:tc>
      </w:tr>
      <w:tr w14:paraId="3D91A5FE">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2B5881AE">
            <w:pPr>
              <w:jc w:val="center"/>
              <w:rPr>
                <w:rFonts w:eastAsia="仿宋_GB2312"/>
                <w:bCs/>
                <w:sz w:val="24"/>
                <w:szCs w:val="24"/>
              </w:rPr>
            </w:pPr>
            <w:r>
              <w:rPr>
                <w:rFonts w:hint="eastAsia" w:eastAsia="仿宋_GB2312"/>
                <w:bCs/>
                <w:sz w:val="24"/>
                <w:szCs w:val="24"/>
              </w:rPr>
              <w:t>8</w:t>
            </w:r>
          </w:p>
        </w:tc>
        <w:tc>
          <w:tcPr>
            <w:tcW w:w="2854" w:type="dxa"/>
            <w:tcBorders>
              <w:top w:val="nil"/>
              <w:left w:val="nil"/>
              <w:bottom w:val="single" w:color="auto" w:sz="4" w:space="0"/>
              <w:right w:val="single" w:color="auto" w:sz="4" w:space="0"/>
            </w:tcBorders>
            <w:vAlign w:val="center"/>
          </w:tcPr>
          <w:p w14:paraId="7D73B2AB">
            <w:pPr>
              <w:jc w:val="both"/>
              <w:rPr>
                <w:rFonts w:eastAsia="仿宋_GB2312"/>
                <w:bCs/>
                <w:sz w:val="24"/>
                <w:szCs w:val="24"/>
              </w:rPr>
            </w:pPr>
            <w:r>
              <w:rPr>
                <w:rFonts w:hint="eastAsia" w:eastAsia="仿宋_GB2312"/>
                <w:bCs/>
                <w:sz w:val="24"/>
                <w:szCs w:val="24"/>
              </w:rPr>
              <w:t>浙江隆兴矿业有限公司</w:t>
            </w:r>
            <w:r>
              <w:rPr>
                <w:rFonts w:hint="eastAsia" w:eastAsia="仿宋_GB2312"/>
                <w:bCs/>
                <w:sz w:val="24"/>
                <w:szCs w:val="24"/>
              </w:rPr>
              <w:br w:type="textWrapping"/>
            </w:r>
            <w:r>
              <w:rPr>
                <w:rFonts w:hint="eastAsia" w:eastAsia="仿宋_GB2312"/>
                <w:bCs/>
                <w:sz w:val="24"/>
                <w:szCs w:val="24"/>
              </w:rPr>
              <w:t>浙江省遂昌县柘岱口乡坑西萤石矿</w:t>
            </w:r>
          </w:p>
        </w:tc>
        <w:tc>
          <w:tcPr>
            <w:tcW w:w="935" w:type="dxa"/>
            <w:tcBorders>
              <w:top w:val="nil"/>
              <w:left w:val="nil"/>
              <w:bottom w:val="single" w:color="auto" w:sz="4" w:space="0"/>
              <w:right w:val="single" w:color="auto" w:sz="4" w:space="0"/>
            </w:tcBorders>
            <w:noWrap/>
            <w:vAlign w:val="center"/>
          </w:tcPr>
          <w:p w14:paraId="5A9A4EBE">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6CCBBC57">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5F055655">
            <w:pPr>
              <w:jc w:val="center"/>
              <w:rPr>
                <w:rFonts w:eastAsia="仿宋_GB2312"/>
                <w:bCs/>
                <w:sz w:val="24"/>
                <w:szCs w:val="24"/>
              </w:rPr>
            </w:pPr>
            <w:r>
              <w:rPr>
                <w:rFonts w:hint="eastAsia" w:eastAsia="仿宋_GB2312"/>
                <w:bCs/>
                <w:sz w:val="24"/>
                <w:szCs w:val="24"/>
              </w:rPr>
              <w:t>10万吨/年</w:t>
            </w:r>
          </w:p>
        </w:tc>
        <w:tc>
          <w:tcPr>
            <w:tcW w:w="1272" w:type="dxa"/>
            <w:tcBorders>
              <w:top w:val="nil"/>
              <w:left w:val="nil"/>
              <w:bottom w:val="single" w:color="auto" w:sz="4" w:space="0"/>
              <w:right w:val="single" w:color="auto" w:sz="4" w:space="0"/>
            </w:tcBorders>
            <w:noWrap/>
            <w:vAlign w:val="center"/>
          </w:tcPr>
          <w:p w14:paraId="6ACDD71D">
            <w:pPr>
              <w:jc w:val="center"/>
              <w:rPr>
                <w:rFonts w:eastAsia="仿宋_GB2312"/>
                <w:bCs/>
                <w:sz w:val="24"/>
                <w:szCs w:val="24"/>
              </w:rPr>
            </w:pPr>
            <w:r>
              <w:rPr>
                <w:rFonts w:hint="eastAsia" w:eastAsia="仿宋_GB2312"/>
                <w:bCs/>
                <w:sz w:val="24"/>
                <w:szCs w:val="24"/>
              </w:rPr>
              <w:t>正常生产</w:t>
            </w:r>
          </w:p>
        </w:tc>
        <w:tc>
          <w:tcPr>
            <w:tcW w:w="236" w:type="dxa"/>
            <w:vAlign w:val="center"/>
          </w:tcPr>
          <w:p w14:paraId="75C26460">
            <w:pPr>
              <w:widowControl/>
              <w:rPr>
                <w:rFonts w:eastAsia="Times New Roman"/>
              </w:rPr>
            </w:pPr>
          </w:p>
        </w:tc>
      </w:tr>
      <w:tr w14:paraId="31B814C8">
        <w:trPr>
          <w:trHeight w:val="1020" w:hRule="atLeast"/>
        </w:trPr>
        <w:tc>
          <w:tcPr>
            <w:tcW w:w="697" w:type="dxa"/>
            <w:tcBorders>
              <w:top w:val="nil"/>
              <w:left w:val="single" w:color="auto" w:sz="4" w:space="0"/>
              <w:bottom w:val="single" w:color="auto" w:sz="4" w:space="0"/>
              <w:right w:val="single" w:color="auto" w:sz="4" w:space="0"/>
            </w:tcBorders>
            <w:noWrap/>
            <w:vAlign w:val="center"/>
          </w:tcPr>
          <w:p w14:paraId="1799E980">
            <w:pPr>
              <w:jc w:val="center"/>
              <w:rPr>
                <w:rFonts w:eastAsia="仿宋_GB2312"/>
                <w:bCs/>
                <w:sz w:val="24"/>
                <w:szCs w:val="24"/>
              </w:rPr>
            </w:pPr>
            <w:r>
              <w:rPr>
                <w:rFonts w:hint="eastAsia" w:eastAsia="仿宋_GB2312"/>
                <w:bCs/>
                <w:sz w:val="24"/>
                <w:szCs w:val="24"/>
              </w:rPr>
              <w:t>9</w:t>
            </w:r>
          </w:p>
        </w:tc>
        <w:tc>
          <w:tcPr>
            <w:tcW w:w="2854" w:type="dxa"/>
            <w:tcBorders>
              <w:top w:val="nil"/>
              <w:left w:val="nil"/>
              <w:bottom w:val="single" w:color="auto" w:sz="4" w:space="0"/>
              <w:right w:val="single" w:color="auto" w:sz="4" w:space="0"/>
            </w:tcBorders>
            <w:vAlign w:val="center"/>
          </w:tcPr>
          <w:p w14:paraId="069FA061">
            <w:pPr>
              <w:jc w:val="both"/>
              <w:rPr>
                <w:rFonts w:eastAsia="仿宋_GB2312"/>
                <w:bCs/>
                <w:sz w:val="24"/>
                <w:szCs w:val="24"/>
              </w:rPr>
            </w:pPr>
            <w:r>
              <w:rPr>
                <w:rFonts w:hint="eastAsia" w:eastAsia="仿宋_GB2312"/>
                <w:bCs/>
                <w:sz w:val="24"/>
                <w:szCs w:val="24"/>
              </w:rPr>
              <w:t>浙江遂金萤石矿业有限公司浙江省遂昌县濂竹乡叶家田萤石矿</w:t>
            </w:r>
          </w:p>
        </w:tc>
        <w:tc>
          <w:tcPr>
            <w:tcW w:w="935" w:type="dxa"/>
            <w:tcBorders>
              <w:top w:val="nil"/>
              <w:left w:val="nil"/>
              <w:bottom w:val="single" w:color="auto" w:sz="4" w:space="0"/>
              <w:right w:val="single" w:color="auto" w:sz="4" w:space="0"/>
            </w:tcBorders>
            <w:noWrap/>
            <w:vAlign w:val="center"/>
          </w:tcPr>
          <w:p w14:paraId="34D86AA7">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6D805218">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6EDA6338">
            <w:pPr>
              <w:jc w:val="center"/>
              <w:rPr>
                <w:rFonts w:eastAsia="仿宋_GB2312"/>
                <w:bCs/>
                <w:sz w:val="24"/>
                <w:szCs w:val="24"/>
              </w:rPr>
            </w:pPr>
            <w:r>
              <w:rPr>
                <w:rFonts w:hint="eastAsia" w:eastAsia="仿宋_GB2312"/>
                <w:bCs/>
                <w:sz w:val="24"/>
                <w:szCs w:val="24"/>
              </w:rPr>
              <w:t>3.5万吨/年</w:t>
            </w:r>
          </w:p>
        </w:tc>
        <w:tc>
          <w:tcPr>
            <w:tcW w:w="1272" w:type="dxa"/>
            <w:tcBorders>
              <w:top w:val="nil"/>
              <w:left w:val="nil"/>
              <w:bottom w:val="single" w:color="auto" w:sz="4" w:space="0"/>
              <w:right w:val="single" w:color="auto" w:sz="4" w:space="0"/>
            </w:tcBorders>
            <w:noWrap/>
            <w:vAlign w:val="center"/>
          </w:tcPr>
          <w:p w14:paraId="4B1D48F7">
            <w:pPr>
              <w:jc w:val="center"/>
              <w:rPr>
                <w:rFonts w:eastAsia="仿宋_GB2312"/>
                <w:bCs/>
                <w:sz w:val="24"/>
                <w:szCs w:val="24"/>
              </w:rPr>
            </w:pPr>
            <w:r>
              <w:rPr>
                <w:rFonts w:hint="eastAsia" w:eastAsia="仿宋_GB2312"/>
                <w:bCs/>
                <w:sz w:val="24"/>
                <w:szCs w:val="24"/>
              </w:rPr>
              <w:t>正常生产</w:t>
            </w:r>
          </w:p>
        </w:tc>
        <w:tc>
          <w:tcPr>
            <w:tcW w:w="236" w:type="dxa"/>
            <w:vAlign w:val="center"/>
          </w:tcPr>
          <w:p w14:paraId="3D84FBAE">
            <w:pPr>
              <w:widowControl/>
              <w:rPr>
                <w:rFonts w:eastAsia="Times New Roman"/>
              </w:rPr>
            </w:pPr>
          </w:p>
        </w:tc>
      </w:tr>
      <w:tr w14:paraId="22D14E36">
        <w:trPr>
          <w:trHeight w:val="1020" w:hRule="atLeast"/>
        </w:trPr>
        <w:tc>
          <w:tcPr>
            <w:tcW w:w="697" w:type="dxa"/>
            <w:tcBorders>
              <w:top w:val="nil"/>
              <w:left w:val="single" w:color="auto" w:sz="4" w:space="0"/>
              <w:bottom w:val="single" w:color="auto" w:sz="4" w:space="0"/>
              <w:right w:val="single" w:color="auto" w:sz="4" w:space="0"/>
            </w:tcBorders>
            <w:noWrap/>
            <w:vAlign w:val="center"/>
          </w:tcPr>
          <w:p w14:paraId="7E021CF0">
            <w:pPr>
              <w:jc w:val="center"/>
              <w:rPr>
                <w:rFonts w:eastAsia="仿宋_GB2312"/>
                <w:bCs/>
                <w:sz w:val="24"/>
                <w:szCs w:val="24"/>
              </w:rPr>
            </w:pPr>
            <w:r>
              <w:rPr>
                <w:rFonts w:hint="eastAsia" w:eastAsia="仿宋_GB2312"/>
                <w:bCs/>
                <w:sz w:val="24"/>
                <w:szCs w:val="24"/>
              </w:rPr>
              <w:t>10</w:t>
            </w:r>
          </w:p>
        </w:tc>
        <w:tc>
          <w:tcPr>
            <w:tcW w:w="2854" w:type="dxa"/>
            <w:tcBorders>
              <w:top w:val="nil"/>
              <w:left w:val="nil"/>
              <w:bottom w:val="single" w:color="auto" w:sz="4" w:space="0"/>
              <w:right w:val="single" w:color="auto" w:sz="4" w:space="0"/>
            </w:tcBorders>
            <w:vAlign w:val="center"/>
          </w:tcPr>
          <w:p w14:paraId="321D0CB0">
            <w:pPr>
              <w:jc w:val="both"/>
              <w:rPr>
                <w:rFonts w:eastAsia="仿宋_GB2312"/>
                <w:bCs/>
                <w:sz w:val="24"/>
                <w:szCs w:val="24"/>
              </w:rPr>
            </w:pPr>
            <w:r>
              <w:rPr>
                <w:rFonts w:hint="eastAsia" w:eastAsia="仿宋_GB2312"/>
                <w:bCs/>
                <w:sz w:val="24"/>
                <w:szCs w:val="24"/>
              </w:rPr>
              <w:t>遂昌县博源矿业有限公司湖山乡山前萤石矿</w:t>
            </w:r>
          </w:p>
        </w:tc>
        <w:tc>
          <w:tcPr>
            <w:tcW w:w="935" w:type="dxa"/>
            <w:tcBorders>
              <w:top w:val="nil"/>
              <w:left w:val="nil"/>
              <w:bottom w:val="single" w:color="auto" w:sz="4" w:space="0"/>
              <w:right w:val="single" w:color="auto" w:sz="4" w:space="0"/>
            </w:tcBorders>
            <w:noWrap/>
            <w:vAlign w:val="center"/>
          </w:tcPr>
          <w:p w14:paraId="1F7C8C30">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081AD586">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087E1F1E">
            <w:pPr>
              <w:jc w:val="center"/>
              <w:rPr>
                <w:rFonts w:eastAsia="仿宋_GB2312"/>
                <w:bCs/>
                <w:sz w:val="24"/>
                <w:szCs w:val="24"/>
              </w:rPr>
            </w:pPr>
            <w:r>
              <w:rPr>
                <w:rFonts w:hint="eastAsia" w:eastAsia="仿宋_GB2312"/>
                <w:bCs/>
                <w:sz w:val="24"/>
                <w:szCs w:val="24"/>
              </w:rPr>
              <w:t>5万吨/年</w:t>
            </w:r>
          </w:p>
        </w:tc>
        <w:tc>
          <w:tcPr>
            <w:tcW w:w="1272" w:type="dxa"/>
            <w:tcBorders>
              <w:top w:val="nil"/>
              <w:left w:val="nil"/>
              <w:bottom w:val="single" w:color="auto" w:sz="4" w:space="0"/>
              <w:right w:val="single" w:color="auto" w:sz="4" w:space="0"/>
            </w:tcBorders>
            <w:noWrap/>
            <w:vAlign w:val="center"/>
          </w:tcPr>
          <w:p w14:paraId="697C8688">
            <w:pPr>
              <w:jc w:val="center"/>
              <w:rPr>
                <w:rFonts w:eastAsia="仿宋_GB2312"/>
                <w:bCs/>
                <w:sz w:val="24"/>
                <w:szCs w:val="24"/>
              </w:rPr>
            </w:pPr>
            <w:r>
              <w:rPr>
                <w:rFonts w:hint="eastAsia" w:eastAsia="仿宋_GB2312"/>
                <w:bCs/>
                <w:sz w:val="24"/>
                <w:szCs w:val="24"/>
              </w:rPr>
              <w:t>建设期</w:t>
            </w:r>
          </w:p>
        </w:tc>
        <w:tc>
          <w:tcPr>
            <w:tcW w:w="236" w:type="dxa"/>
            <w:vAlign w:val="center"/>
          </w:tcPr>
          <w:p w14:paraId="6941F7EE">
            <w:pPr>
              <w:widowControl/>
              <w:rPr>
                <w:rFonts w:eastAsia="Times New Roman"/>
              </w:rPr>
            </w:pPr>
          </w:p>
        </w:tc>
      </w:tr>
      <w:tr w14:paraId="26082D9F">
        <w:trPr>
          <w:trHeight w:val="1120" w:hRule="atLeast"/>
        </w:trPr>
        <w:tc>
          <w:tcPr>
            <w:tcW w:w="697" w:type="dxa"/>
            <w:tcBorders>
              <w:top w:val="nil"/>
              <w:left w:val="single" w:color="auto" w:sz="4" w:space="0"/>
              <w:bottom w:val="single" w:color="auto" w:sz="4" w:space="0"/>
              <w:right w:val="single" w:color="auto" w:sz="4" w:space="0"/>
            </w:tcBorders>
            <w:noWrap/>
            <w:vAlign w:val="center"/>
          </w:tcPr>
          <w:p w14:paraId="52B244E8">
            <w:pPr>
              <w:jc w:val="center"/>
              <w:rPr>
                <w:rFonts w:eastAsia="仿宋_GB2312"/>
                <w:bCs/>
                <w:sz w:val="24"/>
                <w:szCs w:val="24"/>
              </w:rPr>
            </w:pPr>
            <w:r>
              <w:rPr>
                <w:rFonts w:hint="eastAsia" w:eastAsia="仿宋_GB2312"/>
                <w:bCs/>
                <w:sz w:val="24"/>
                <w:szCs w:val="24"/>
              </w:rPr>
              <w:t>11</w:t>
            </w:r>
          </w:p>
        </w:tc>
        <w:tc>
          <w:tcPr>
            <w:tcW w:w="2854" w:type="dxa"/>
            <w:tcBorders>
              <w:top w:val="nil"/>
              <w:left w:val="nil"/>
              <w:bottom w:val="single" w:color="auto" w:sz="4" w:space="0"/>
              <w:right w:val="single" w:color="auto" w:sz="4" w:space="0"/>
            </w:tcBorders>
            <w:vAlign w:val="center"/>
          </w:tcPr>
          <w:p w14:paraId="1C0A6993">
            <w:pPr>
              <w:jc w:val="both"/>
              <w:rPr>
                <w:rFonts w:eastAsia="仿宋_GB2312"/>
                <w:bCs/>
                <w:sz w:val="24"/>
                <w:szCs w:val="24"/>
              </w:rPr>
            </w:pPr>
            <w:r>
              <w:rPr>
                <w:rFonts w:hint="eastAsia" w:eastAsia="仿宋_GB2312"/>
                <w:bCs/>
                <w:sz w:val="24"/>
                <w:szCs w:val="24"/>
              </w:rPr>
              <w:t>遂昌旺坑萤石矿业有限公司</w:t>
            </w:r>
          </w:p>
        </w:tc>
        <w:tc>
          <w:tcPr>
            <w:tcW w:w="935" w:type="dxa"/>
            <w:tcBorders>
              <w:top w:val="nil"/>
              <w:left w:val="nil"/>
              <w:bottom w:val="single" w:color="auto" w:sz="4" w:space="0"/>
              <w:right w:val="single" w:color="auto" w:sz="4" w:space="0"/>
            </w:tcBorders>
            <w:noWrap/>
            <w:vAlign w:val="center"/>
          </w:tcPr>
          <w:p w14:paraId="5680F874">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2CC861FE">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1E641DAD">
            <w:pPr>
              <w:jc w:val="center"/>
              <w:rPr>
                <w:rFonts w:eastAsia="仿宋_GB2312"/>
                <w:bCs/>
                <w:sz w:val="24"/>
                <w:szCs w:val="24"/>
              </w:rPr>
            </w:pPr>
            <w:r>
              <w:rPr>
                <w:rFonts w:hint="eastAsia" w:eastAsia="仿宋_GB2312"/>
                <w:bCs/>
                <w:sz w:val="24"/>
                <w:szCs w:val="24"/>
              </w:rPr>
              <w:t>2万吨/年</w:t>
            </w:r>
          </w:p>
        </w:tc>
        <w:tc>
          <w:tcPr>
            <w:tcW w:w="1272" w:type="dxa"/>
            <w:tcBorders>
              <w:top w:val="nil"/>
              <w:left w:val="nil"/>
              <w:bottom w:val="single" w:color="auto" w:sz="4" w:space="0"/>
              <w:right w:val="single" w:color="auto" w:sz="4" w:space="0"/>
            </w:tcBorders>
            <w:noWrap/>
            <w:vAlign w:val="center"/>
          </w:tcPr>
          <w:p w14:paraId="01D32582">
            <w:pPr>
              <w:jc w:val="center"/>
              <w:rPr>
                <w:rFonts w:eastAsia="仿宋_GB2312"/>
                <w:bCs/>
                <w:sz w:val="24"/>
                <w:szCs w:val="24"/>
              </w:rPr>
            </w:pPr>
            <w:bookmarkStart w:id="3" w:name="OLE_LINK17"/>
            <w:r>
              <w:rPr>
                <w:rFonts w:hint="eastAsia" w:eastAsia="仿宋_GB2312"/>
                <w:bCs/>
                <w:sz w:val="24"/>
                <w:szCs w:val="24"/>
              </w:rPr>
              <w:t>建设期</w:t>
            </w:r>
            <w:bookmarkEnd w:id="3"/>
            <w:r>
              <w:rPr>
                <w:rFonts w:hint="eastAsia" w:eastAsia="仿宋_GB2312"/>
                <w:bCs/>
                <w:sz w:val="24"/>
                <w:szCs w:val="24"/>
              </w:rPr>
              <w:t>（竣工验收阶段）</w:t>
            </w:r>
          </w:p>
        </w:tc>
        <w:tc>
          <w:tcPr>
            <w:tcW w:w="236" w:type="dxa"/>
            <w:vAlign w:val="center"/>
          </w:tcPr>
          <w:p w14:paraId="1C528D6C">
            <w:pPr>
              <w:widowControl/>
              <w:rPr>
                <w:rFonts w:eastAsia="Times New Roman"/>
              </w:rPr>
            </w:pPr>
          </w:p>
        </w:tc>
      </w:tr>
      <w:tr w14:paraId="1F52AAF6">
        <w:trPr>
          <w:trHeight w:val="940" w:hRule="atLeast"/>
        </w:trPr>
        <w:tc>
          <w:tcPr>
            <w:tcW w:w="697" w:type="dxa"/>
            <w:tcBorders>
              <w:top w:val="nil"/>
              <w:left w:val="single" w:color="auto" w:sz="4" w:space="0"/>
              <w:bottom w:val="single" w:color="auto" w:sz="4" w:space="0"/>
              <w:right w:val="single" w:color="auto" w:sz="4" w:space="0"/>
            </w:tcBorders>
            <w:noWrap/>
            <w:vAlign w:val="center"/>
          </w:tcPr>
          <w:p w14:paraId="22CAFEE3">
            <w:pPr>
              <w:jc w:val="center"/>
              <w:rPr>
                <w:rFonts w:eastAsia="仿宋_GB2312"/>
                <w:bCs/>
                <w:sz w:val="24"/>
                <w:szCs w:val="24"/>
              </w:rPr>
            </w:pPr>
            <w:r>
              <w:rPr>
                <w:rFonts w:hint="eastAsia" w:eastAsia="仿宋_GB2312"/>
                <w:bCs/>
                <w:sz w:val="24"/>
                <w:szCs w:val="24"/>
              </w:rPr>
              <w:t>12</w:t>
            </w:r>
          </w:p>
        </w:tc>
        <w:tc>
          <w:tcPr>
            <w:tcW w:w="2854" w:type="dxa"/>
            <w:tcBorders>
              <w:top w:val="nil"/>
              <w:left w:val="nil"/>
              <w:bottom w:val="single" w:color="auto" w:sz="4" w:space="0"/>
              <w:right w:val="single" w:color="auto" w:sz="4" w:space="0"/>
            </w:tcBorders>
            <w:vAlign w:val="center"/>
          </w:tcPr>
          <w:p w14:paraId="60A100F0">
            <w:pPr>
              <w:jc w:val="both"/>
              <w:rPr>
                <w:rFonts w:eastAsia="仿宋_GB2312"/>
                <w:bCs/>
                <w:sz w:val="24"/>
                <w:szCs w:val="24"/>
              </w:rPr>
            </w:pPr>
            <w:r>
              <w:rPr>
                <w:rFonts w:hint="eastAsia" w:eastAsia="仿宋_GB2312"/>
                <w:bCs/>
                <w:sz w:val="24"/>
                <w:szCs w:val="24"/>
              </w:rPr>
              <w:t>浙江大金庄矿业有限公司遂昌县柘岱口乡横坑坪萤石矿尾矿库</w:t>
            </w:r>
          </w:p>
        </w:tc>
        <w:tc>
          <w:tcPr>
            <w:tcW w:w="935" w:type="dxa"/>
            <w:tcBorders>
              <w:top w:val="nil"/>
              <w:left w:val="nil"/>
              <w:bottom w:val="single" w:color="auto" w:sz="4" w:space="0"/>
              <w:right w:val="single" w:color="auto" w:sz="4" w:space="0"/>
            </w:tcBorders>
            <w:noWrap/>
            <w:vAlign w:val="center"/>
          </w:tcPr>
          <w:p w14:paraId="1BADD30D">
            <w:pPr>
              <w:jc w:val="center"/>
              <w:rPr>
                <w:rFonts w:eastAsia="仿宋_GB2312"/>
                <w:bCs/>
                <w:sz w:val="24"/>
                <w:szCs w:val="24"/>
              </w:rPr>
            </w:pPr>
            <w:r>
              <w:rPr>
                <w:rFonts w:hint="eastAsia" w:eastAsia="仿宋_GB2312"/>
                <w:bCs/>
                <w:sz w:val="24"/>
                <w:szCs w:val="24"/>
              </w:rPr>
              <w:t>尾矿库</w:t>
            </w:r>
          </w:p>
        </w:tc>
        <w:tc>
          <w:tcPr>
            <w:tcW w:w="1313" w:type="dxa"/>
            <w:tcBorders>
              <w:top w:val="nil"/>
              <w:left w:val="nil"/>
              <w:bottom w:val="single" w:color="auto" w:sz="4" w:space="0"/>
              <w:right w:val="single" w:color="auto" w:sz="4" w:space="0"/>
            </w:tcBorders>
            <w:vAlign w:val="center"/>
          </w:tcPr>
          <w:p w14:paraId="768667B8">
            <w:pPr>
              <w:jc w:val="center"/>
              <w:rPr>
                <w:rFonts w:eastAsia="仿宋_GB2312"/>
                <w:bCs/>
                <w:sz w:val="24"/>
                <w:szCs w:val="24"/>
              </w:rPr>
            </w:pPr>
            <w:r>
              <w:rPr>
                <w:rFonts w:hint="eastAsia" w:eastAsia="仿宋_GB2312"/>
                <w:bCs/>
                <w:sz w:val="24"/>
                <w:szCs w:val="24"/>
              </w:rPr>
              <w:t>尾矿运行</w:t>
            </w:r>
          </w:p>
        </w:tc>
        <w:tc>
          <w:tcPr>
            <w:tcW w:w="989" w:type="dxa"/>
            <w:tcBorders>
              <w:top w:val="nil"/>
              <w:left w:val="nil"/>
              <w:bottom w:val="single" w:color="auto" w:sz="4" w:space="0"/>
              <w:right w:val="single" w:color="auto" w:sz="4" w:space="0"/>
            </w:tcBorders>
            <w:vAlign w:val="center"/>
          </w:tcPr>
          <w:p w14:paraId="1D46016C">
            <w:pPr>
              <w:jc w:val="center"/>
              <w:rPr>
                <w:rFonts w:eastAsia="仿宋_GB2312"/>
                <w:bCs/>
                <w:sz w:val="24"/>
                <w:szCs w:val="24"/>
              </w:rPr>
            </w:pPr>
            <w:r>
              <w:rPr>
                <w:rFonts w:hint="eastAsia" w:eastAsia="仿宋_GB2312"/>
                <w:bCs/>
                <w:sz w:val="24"/>
                <w:szCs w:val="24"/>
              </w:rPr>
              <w:t>/</w:t>
            </w:r>
          </w:p>
        </w:tc>
        <w:tc>
          <w:tcPr>
            <w:tcW w:w="1272" w:type="dxa"/>
            <w:tcBorders>
              <w:top w:val="nil"/>
              <w:left w:val="nil"/>
              <w:bottom w:val="single" w:color="auto" w:sz="4" w:space="0"/>
              <w:right w:val="single" w:color="auto" w:sz="4" w:space="0"/>
            </w:tcBorders>
            <w:noWrap/>
            <w:vAlign w:val="center"/>
          </w:tcPr>
          <w:p w14:paraId="21B13E37">
            <w:pPr>
              <w:jc w:val="center"/>
              <w:rPr>
                <w:rFonts w:eastAsia="仿宋_GB2312"/>
                <w:bCs/>
                <w:sz w:val="24"/>
                <w:szCs w:val="24"/>
              </w:rPr>
            </w:pPr>
            <w:r>
              <w:rPr>
                <w:rFonts w:hint="eastAsia" w:eastAsia="仿宋_GB2312"/>
                <w:bCs/>
                <w:sz w:val="24"/>
                <w:szCs w:val="24"/>
              </w:rPr>
              <w:t>正常生产</w:t>
            </w:r>
          </w:p>
        </w:tc>
        <w:tc>
          <w:tcPr>
            <w:tcW w:w="236" w:type="dxa"/>
            <w:tcBorders>
              <w:bottom w:val="single" w:color="auto" w:sz="4" w:space="0"/>
            </w:tcBorders>
            <w:vAlign w:val="center"/>
          </w:tcPr>
          <w:p w14:paraId="27AC7D61">
            <w:pPr>
              <w:widowControl/>
              <w:rPr>
                <w:rFonts w:eastAsia="Times New Roman"/>
              </w:rPr>
            </w:pPr>
          </w:p>
        </w:tc>
      </w:tr>
      <w:tr w14:paraId="4BE01A4F">
        <w:trPr>
          <w:cantSplit/>
          <w:trHeight w:val="900" w:hRule="atLeast"/>
        </w:trPr>
        <w:tc>
          <w:tcPr>
            <w:tcW w:w="697" w:type="dxa"/>
            <w:tcBorders>
              <w:top w:val="single" w:color="auto" w:sz="4" w:space="0"/>
              <w:left w:val="single" w:color="auto" w:sz="4" w:space="0"/>
              <w:bottom w:val="single" w:color="auto" w:sz="4" w:space="0"/>
              <w:right w:val="single" w:color="auto" w:sz="4" w:space="0"/>
            </w:tcBorders>
            <w:noWrap/>
            <w:vAlign w:val="center"/>
          </w:tcPr>
          <w:p w14:paraId="4175661A">
            <w:pPr>
              <w:jc w:val="center"/>
              <w:rPr>
                <w:rFonts w:eastAsia="仿宋_GB2312"/>
                <w:bCs/>
                <w:sz w:val="24"/>
                <w:szCs w:val="24"/>
              </w:rPr>
            </w:pPr>
            <w:r>
              <w:rPr>
                <w:rFonts w:hint="eastAsia" w:eastAsia="仿宋_GB2312"/>
                <w:bCs/>
                <w:sz w:val="24"/>
                <w:szCs w:val="24"/>
              </w:rPr>
              <w:t>13</w:t>
            </w:r>
          </w:p>
        </w:tc>
        <w:tc>
          <w:tcPr>
            <w:tcW w:w="2854" w:type="dxa"/>
            <w:tcBorders>
              <w:top w:val="single" w:color="auto" w:sz="4" w:space="0"/>
              <w:left w:val="nil"/>
              <w:bottom w:val="single" w:color="auto" w:sz="4" w:space="0"/>
              <w:right w:val="single" w:color="auto" w:sz="4" w:space="0"/>
            </w:tcBorders>
            <w:vAlign w:val="center"/>
          </w:tcPr>
          <w:p w14:paraId="4FDAB8E7">
            <w:pPr>
              <w:jc w:val="both"/>
              <w:rPr>
                <w:rFonts w:eastAsia="仿宋_GB2312"/>
                <w:bCs/>
                <w:sz w:val="24"/>
                <w:szCs w:val="24"/>
              </w:rPr>
            </w:pPr>
            <w:r>
              <w:rPr>
                <w:rFonts w:hint="eastAsia" w:eastAsia="仿宋_GB2312"/>
                <w:bCs/>
                <w:sz w:val="24"/>
                <w:szCs w:val="24"/>
              </w:rPr>
              <w:t>浙江遂昌正中萤石精选有限公司云峰选厂尾矿库</w:t>
            </w:r>
          </w:p>
        </w:tc>
        <w:tc>
          <w:tcPr>
            <w:tcW w:w="935" w:type="dxa"/>
            <w:tcBorders>
              <w:top w:val="single" w:color="auto" w:sz="4" w:space="0"/>
              <w:left w:val="nil"/>
              <w:bottom w:val="single" w:color="auto" w:sz="4" w:space="0"/>
              <w:right w:val="single" w:color="auto" w:sz="4" w:space="0"/>
            </w:tcBorders>
            <w:noWrap/>
            <w:vAlign w:val="center"/>
          </w:tcPr>
          <w:p w14:paraId="14F45E5F">
            <w:pPr>
              <w:jc w:val="center"/>
              <w:rPr>
                <w:rFonts w:eastAsia="仿宋_GB2312"/>
                <w:bCs/>
                <w:sz w:val="24"/>
                <w:szCs w:val="24"/>
              </w:rPr>
            </w:pPr>
            <w:r>
              <w:rPr>
                <w:rFonts w:hint="eastAsia" w:eastAsia="仿宋_GB2312"/>
                <w:bCs/>
                <w:sz w:val="24"/>
                <w:szCs w:val="24"/>
              </w:rPr>
              <w:t>尾矿库</w:t>
            </w:r>
          </w:p>
        </w:tc>
        <w:tc>
          <w:tcPr>
            <w:tcW w:w="1313" w:type="dxa"/>
            <w:tcBorders>
              <w:top w:val="single" w:color="auto" w:sz="4" w:space="0"/>
              <w:left w:val="nil"/>
              <w:bottom w:val="single" w:color="auto" w:sz="4" w:space="0"/>
              <w:right w:val="single" w:color="auto" w:sz="4" w:space="0"/>
            </w:tcBorders>
            <w:vAlign w:val="center"/>
          </w:tcPr>
          <w:p w14:paraId="7DD51DED">
            <w:pPr>
              <w:jc w:val="center"/>
              <w:rPr>
                <w:rFonts w:eastAsia="仿宋_GB2312"/>
                <w:bCs/>
                <w:sz w:val="24"/>
                <w:szCs w:val="24"/>
              </w:rPr>
            </w:pPr>
            <w:r>
              <w:rPr>
                <w:rFonts w:hint="eastAsia" w:eastAsia="仿宋_GB2312"/>
                <w:bCs/>
                <w:sz w:val="24"/>
                <w:szCs w:val="24"/>
              </w:rPr>
              <w:t>尾矿运行</w:t>
            </w:r>
          </w:p>
        </w:tc>
        <w:tc>
          <w:tcPr>
            <w:tcW w:w="989" w:type="dxa"/>
            <w:tcBorders>
              <w:top w:val="single" w:color="auto" w:sz="4" w:space="0"/>
              <w:left w:val="nil"/>
              <w:bottom w:val="single" w:color="auto" w:sz="4" w:space="0"/>
              <w:right w:val="single" w:color="auto" w:sz="4" w:space="0"/>
            </w:tcBorders>
            <w:vAlign w:val="center"/>
          </w:tcPr>
          <w:p w14:paraId="73EA0EDF">
            <w:pPr>
              <w:jc w:val="center"/>
              <w:rPr>
                <w:rFonts w:eastAsia="仿宋_GB2312"/>
                <w:bCs/>
                <w:sz w:val="24"/>
                <w:szCs w:val="24"/>
              </w:rPr>
            </w:pPr>
            <w:r>
              <w:rPr>
                <w:rFonts w:hint="eastAsia" w:eastAsia="仿宋_GB2312"/>
                <w:bCs/>
                <w:sz w:val="24"/>
                <w:szCs w:val="24"/>
              </w:rPr>
              <w:t>/</w:t>
            </w:r>
          </w:p>
        </w:tc>
        <w:tc>
          <w:tcPr>
            <w:tcW w:w="1272" w:type="dxa"/>
            <w:tcBorders>
              <w:top w:val="single" w:color="auto" w:sz="4" w:space="0"/>
              <w:left w:val="nil"/>
              <w:bottom w:val="single" w:color="auto" w:sz="4" w:space="0"/>
              <w:right w:val="single" w:color="auto" w:sz="4" w:space="0"/>
            </w:tcBorders>
            <w:noWrap/>
            <w:vAlign w:val="center"/>
          </w:tcPr>
          <w:p w14:paraId="754971ED">
            <w:pPr>
              <w:jc w:val="center"/>
              <w:rPr>
                <w:rFonts w:eastAsia="仿宋_GB2312"/>
                <w:bCs/>
                <w:sz w:val="24"/>
                <w:szCs w:val="24"/>
              </w:rPr>
            </w:pPr>
            <w:r>
              <w:rPr>
                <w:rFonts w:hint="eastAsia" w:eastAsia="仿宋_GB2312"/>
                <w:bCs/>
                <w:sz w:val="24"/>
                <w:szCs w:val="24"/>
              </w:rPr>
              <w:t>正常生产</w:t>
            </w:r>
          </w:p>
        </w:tc>
        <w:tc>
          <w:tcPr>
            <w:tcW w:w="236" w:type="dxa"/>
            <w:tcBorders>
              <w:top w:val="single" w:color="auto" w:sz="4" w:space="0"/>
            </w:tcBorders>
            <w:vAlign w:val="center"/>
          </w:tcPr>
          <w:p w14:paraId="1DA4871D">
            <w:pPr>
              <w:widowControl/>
              <w:rPr>
                <w:rFonts w:eastAsia="Times New Roman"/>
              </w:rPr>
            </w:pPr>
          </w:p>
        </w:tc>
      </w:tr>
      <w:tr w14:paraId="0ED24711">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6F5E1A12">
            <w:pPr>
              <w:jc w:val="center"/>
              <w:rPr>
                <w:rFonts w:eastAsia="仿宋_GB2312"/>
                <w:bCs/>
                <w:sz w:val="24"/>
                <w:szCs w:val="24"/>
              </w:rPr>
            </w:pPr>
            <w:r>
              <w:rPr>
                <w:rFonts w:hint="eastAsia" w:eastAsia="仿宋_GB2312"/>
                <w:bCs/>
                <w:sz w:val="24"/>
                <w:szCs w:val="24"/>
              </w:rPr>
              <w:t>14</w:t>
            </w:r>
          </w:p>
        </w:tc>
        <w:tc>
          <w:tcPr>
            <w:tcW w:w="2854" w:type="dxa"/>
            <w:tcBorders>
              <w:top w:val="nil"/>
              <w:left w:val="nil"/>
              <w:bottom w:val="single" w:color="auto" w:sz="4" w:space="0"/>
              <w:right w:val="single" w:color="auto" w:sz="4" w:space="0"/>
            </w:tcBorders>
            <w:vAlign w:val="center"/>
          </w:tcPr>
          <w:p w14:paraId="081B086C">
            <w:pPr>
              <w:jc w:val="both"/>
              <w:rPr>
                <w:rFonts w:eastAsia="仿宋_GB2312"/>
                <w:bCs/>
                <w:sz w:val="24"/>
                <w:szCs w:val="24"/>
              </w:rPr>
            </w:pPr>
            <w:r>
              <w:rPr>
                <w:rFonts w:hint="eastAsia" w:eastAsia="仿宋_GB2312"/>
                <w:bCs/>
                <w:sz w:val="24"/>
                <w:szCs w:val="24"/>
              </w:rPr>
              <w:t>浙江省遂昌金矿有限公司4号尾矿库</w:t>
            </w:r>
          </w:p>
        </w:tc>
        <w:tc>
          <w:tcPr>
            <w:tcW w:w="935" w:type="dxa"/>
            <w:tcBorders>
              <w:top w:val="nil"/>
              <w:left w:val="nil"/>
              <w:bottom w:val="single" w:color="auto" w:sz="4" w:space="0"/>
              <w:right w:val="single" w:color="auto" w:sz="4" w:space="0"/>
            </w:tcBorders>
            <w:noWrap/>
            <w:vAlign w:val="center"/>
          </w:tcPr>
          <w:p w14:paraId="101ECFA9">
            <w:pPr>
              <w:jc w:val="center"/>
              <w:rPr>
                <w:rFonts w:eastAsia="仿宋_GB2312"/>
                <w:bCs/>
                <w:sz w:val="24"/>
                <w:szCs w:val="24"/>
              </w:rPr>
            </w:pPr>
            <w:r>
              <w:rPr>
                <w:rFonts w:hint="eastAsia" w:eastAsia="仿宋_GB2312"/>
                <w:bCs/>
                <w:sz w:val="24"/>
                <w:szCs w:val="24"/>
              </w:rPr>
              <w:t>尾矿库</w:t>
            </w:r>
          </w:p>
        </w:tc>
        <w:tc>
          <w:tcPr>
            <w:tcW w:w="1313" w:type="dxa"/>
            <w:tcBorders>
              <w:top w:val="nil"/>
              <w:left w:val="nil"/>
              <w:bottom w:val="single" w:color="auto" w:sz="4" w:space="0"/>
              <w:right w:val="single" w:color="auto" w:sz="4" w:space="0"/>
            </w:tcBorders>
            <w:vAlign w:val="center"/>
          </w:tcPr>
          <w:p w14:paraId="09113142">
            <w:pPr>
              <w:jc w:val="center"/>
              <w:rPr>
                <w:rFonts w:eastAsia="仿宋_GB2312"/>
                <w:bCs/>
                <w:sz w:val="24"/>
                <w:szCs w:val="24"/>
              </w:rPr>
            </w:pPr>
            <w:r>
              <w:rPr>
                <w:rFonts w:hint="eastAsia" w:eastAsia="仿宋_GB2312"/>
                <w:bCs/>
                <w:sz w:val="24"/>
                <w:szCs w:val="24"/>
              </w:rPr>
              <w:t>尾矿运行</w:t>
            </w:r>
          </w:p>
        </w:tc>
        <w:tc>
          <w:tcPr>
            <w:tcW w:w="989" w:type="dxa"/>
            <w:tcBorders>
              <w:top w:val="nil"/>
              <w:left w:val="nil"/>
              <w:bottom w:val="single" w:color="auto" w:sz="4" w:space="0"/>
              <w:right w:val="single" w:color="auto" w:sz="4" w:space="0"/>
            </w:tcBorders>
            <w:vAlign w:val="center"/>
          </w:tcPr>
          <w:p w14:paraId="739B608E">
            <w:pPr>
              <w:jc w:val="center"/>
              <w:rPr>
                <w:rFonts w:eastAsia="仿宋_GB2312"/>
                <w:bCs/>
                <w:sz w:val="24"/>
                <w:szCs w:val="24"/>
              </w:rPr>
            </w:pPr>
            <w:r>
              <w:rPr>
                <w:rFonts w:hint="eastAsia" w:eastAsia="仿宋_GB2312"/>
                <w:bCs/>
                <w:sz w:val="24"/>
                <w:szCs w:val="24"/>
              </w:rPr>
              <w:t>/</w:t>
            </w:r>
          </w:p>
        </w:tc>
        <w:tc>
          <w:tcPr>
            <w:tcW w:w="1272" w:type="dxa"/>
            <w:tcBorders>
              <w:top w:val="nil"/>
              <w:left w:val="nil"/>
              <w:bottom w:val="single" w:color="auto" w:sz="4" w:space="0"/>
              <w:right w:val="single" w:color="auto" w:sz="4" w:space="0"/>
            </w:tcBorders>
            <w:noWrap/>
            <w:vAlign w:val="center"/>
          </w:tcPr>
          <w:p w14:paraId="2AD40E8A">
            <w:pPr>
              <w:jc w:val="center"/>
              <w:rPr>
                <w:rFonts w:eastAsia="仿宋_GB2312"/>
                <w:bCs/>
                <w:sz w:val="24"/>
                <w:szCs w:val="24"/>
              </w:rPr>
            </w:pPr>
            <w:r>
              <w:rPr>
                <w:rFonts w:hint="eastAsia" w:eastAsia="仿宋_GB2312"/>
                <w:bCs/>
                <w:sz w:val="24"/>
                <w:szCs w:val="24"/>
              </w:rPr>
              <w:t>正常生产</w:t>
            </w:r>
          </w:p>
        </w:tc>
        <w:tc>
          <w:tcPr>
            <w:tcW w:w="236" w:type="dxa"/>
            <w:vAlign w:val="center"/>
          </w:tcPr>
          <w:p w14:paraId="243E8DCA">
            <w:pPr>
              <w:widowControl/>
              <w:rPr>
                <w:rFonts w:eastAsia="Times New Roman"/>
              </w:rPr>
            </w:pPr>
          </w:p>
        </w:tc>
      </w:tr>
      <w:tr w14:paraId="027BC893">
        <w:trPr>
          <w:trHeight w:val="900" w:hRule="atLeast"/>
        </w:trPr>
        <w:tc>
          <w:tcPr>
            <w:tcW w:w="697" w:type="dxa"/>
            <w:tcBorders>
              <w:top w:val="nil"/>
              <w:left w:val="single" w:color="auto" w:sz="4" w:space="0"/>
              <w:bottom w:val="single" w:color="auto" w:sz="4" w:space="0"/>
              <w:right w:val="single" w:color="auto" w:sz="4" w:space="0"/>
            </w:tcBorders>
            <w:noWrap/>
            <w:vAlign w:val="center"/>
          </w:tcPr>
          <w:p w14:paraId="33FD11FF">
            <w:pPr>
              <w:jc w:val="center"/>
              <w:rPr>
                <w:rFonts w:eastAsia="仿宋_GB2312"/>
                <w:bCs/>
                <w:sz w:val="24"/>
                <w:szCs w:val="24"/>
              </w:rPr>
            </w:pPr>
            <w:r>
              <w:rPr>
                <w:rFonts w:hint="eastAsia" w:eastAsia="仿宋_GB2312"/>
                <w:bCs/>
                <w:sz w:val="24"/>
                <w:szCs w:val="24"/>
              </w:rPr>
              <w:t>15</w:t>
            </w:r>
          </w:p>
        </w:tc>
        <w:tc>
          <w:tcPr>
            <w:tcW w:w="2854" w:type="dxa"/>
            <w:tcBorders>
              <w:top w:val="nil"/>
              <w:left w:val="nil"/>
              <w:bottom w:val="single" w:color="auto" w:sz="4" w:space="0"/>
              <w:right w:val="single" w:color="auto" w:sz="4" w:space="0"/>
            </w:tcBorders>
            <w:vAlign w:val="center"/>
          </w:tcPr>
          <w:p w14:paraId="0EA82DAB">
            <w:pPr>
              <w:jc w:val="both"/>
              <w:rPr>
                <w:rFonts w:eastAsia="仿宋_GB2312"/>
                <w:bCs/>
                <w:sz w:val="24"/>
                <w:szCs w:val="24"/>
              </w:rPr>
            </w:pPr>
            <w:r>
              <w:rPr>
                <w:rFonts w:hint="eastAsia" w:eastAsia="仿宋_GB2312"/>
                <w:bCs/>
                <w:sz w:val="24"/>
                <w:szCs w:val="24"/>
              </w:rPr>
              <w:t>浙江宏昌矿业有限公司</w:t>
            </w:r>
            <w:r>
              <w:rPr>
                <w:rFonts w:hint="eastAsia" w:eastAsia="仿宋_GB2312"/>
                <w:bCs/>
                <w:sz w:val="24"/>
                <w:szCs w:val="24"/>
              </w:rPr>
              <w:br w:type="textWrapping"/>
            </w:r>
            <w:r>
              <w:rPr>
                <w:rFonts w:hint="eastAsia" w:eastAsia="仿宋_GB2312"/>
                <w:bCs/>
                <w:sz w:val="24"/>
                <w:szCs w:val="24"/>
              </w:rPr>
              <w:t>浙江省遂昌县刘道坞矿区饰面用花岗岩矿</w:t>
            </w:r>
          </w:p>
        </w:tc>
        <w:tc>
          <w:tcPr>
            <w:tcW w:w="935" w:type="dxa"/>
            <w:tcBorders>
              <w:top w:val="nil"/>
              <w:left w:val="nil"/>
              <w:bottom w:val="single" w:color="auto" w:sz="4" w:space="0"/>
              <w:right w:val="single" w:color="auto" w:sz="4" w:space="0"/>
            </w:tcBorders>
            <w:noWrap/>
            <w:vAlign w:val="center"/>
          </w:tcPr>
          <w:p w14:paraId="64ECBE47">
            <w:pPr>
              <w:jc w:val="center"/>
              <w:rPr>
                <w:rFonts w:eastAsia="仿宋_GB2312"/>
                <w:bCs/>
                <w:sz w:val="24"/>
                <w:szCs w:val="24"/>
              </w:rPr>
            </w:pPr>
            <w:r>
              <w:rPr>
                <w:rFonts w:hint="eastAsia" w:eastAsia="仿宋_GB2312"/>
                <w:bCs/>
                <w:sz w:val="24"/>
                <w:szCs w:val="24"/>
              </w:rPr>
              <w:t>露天</w:t>
            </w:r>
          </w:p>
        </w:tc>
        <w:tc>
          <w:tcPr>
            <w:tcW w:w="1313" w:type="dxa"/>
            <w:tcBorders>
              <w:top w:val="nil"/>
              <w:left w:val="nil"/>
              <w:bottom w:val="single" w:color="auto" w:sz="4" w:space="0"/>
              <w:right w:val="single" w:color="auto" w:sz="4" w:space="0"/>
            </w:tcBorders>
            <w:noWrap/>
            <w:vAlign w:val="center"/>
          </w:tcPr>
          <w:p w14:paraId="694C9CBB">
            <w:pPr>
              <w:jc w:val="center"/>
              <w:rPr>
                <w:rFonts w:eastAsia="仿宋_GB2312"/>
                <w:bCs/>
                <w:sz w:val="24"/>
                <w:szCs w:val="24"/>
              </w:rPr>
            </w:pPr>
            <w:r>
              <w:rPr>
                <w:rFonts w:hint="eastAsia" w:eastAsia="仿宋_GB2312"/>
                <w:bCs/>
                <w:sz w:val="24"/>
                <w:szCs w:val="24"/>
              </w:rPr>
              <w:t>花岗岩</w:t>
            </w:r>
          </w:p>
        </w:tc>
        <w:tc>
          <w:tcPr>
            <w:tcW w:w="989" w:type="dxa"/>
            <w:tcBorders>
              <w:top w:val="nil"/>
              <w:left w:val="nil"/>
              <w:bottom w:val="single" w:color="auto" w:sz="4" w:space="0"/>
              <w:right w:val="single" w:color="auto" w:sz="4" w:space="0"/>
            </w:tcBorders>
            <w:vAlign w:val="center"/>
          </w:tcPr>
          <w:p w14:paraId="3B25A433">
            <w:pPr>
              <w:jc w:val="center"/>
              <w:rPr>
                <w:rFonts w:eastAsia="仿宋_GB2312"/>
                <w:bCs/>
                <w:sz w:val="24"/>
                <w:szCs w:val="24"/>
              </w:rPr>
            </w:pPr>
            <w:r>
              <w:rPr>
                <w:rFonts w:hint="eastAsia" w:eastAsia="仿宋_GB2312"/>
                <w:bCs/>
                <w:sz w:val="24"/>
                <w:szCs w:val="24"/>
              </w:rPr>
              <w:t>100万立方米/年</w:t>
            </w:r>
          </w:p>
        </w:tc>
        <w:tc>
          <w:tcPr>
            <w:tcW w:w="1272" w:type="dxa"/>
            <w:tcBorders>
              <w:top w:val="nil"/>
              <w:left w:val="nil"/>
              <w:bottom w:val="single" w:color="auto" w:sz="4" w:space="0"/>
              <w:right w:val="single" w:color="auto" w:sz="4" w:space="0"/>
            </w:tcBorders>
            <w:noWrap/>
            <w:vAlign w:val="center"/>
          </w:tcPr>
          <w:p w14:paraId="2E191271">
            <w:pPr>
              <w:jc w:val="center"/>
              <w:rPr>
                <w:rFonts w:eastAsia="仿宋_GB2312"/>
                <w:bCs/>
                <w:sz w:val="24"/>
                <w:szCs w:val="24"/>
              </w:rPr>
            </w:pPr>
            <w:r>
              <w:rPr>
                <w:rFonts w:hint="eastAsia" w:eastAsia="仿宋_GB2312"/>
                <w:bCs/>
                <w:sz w:val="24"/>
                <w:szCs w:val="24"/>
              </w:rPr>
              <w:t>正常生产</w:t>
            </w:r>
          </w:p>
        </w:tc>
        <w:tc>
          <w:tcPr>
            <w:tcW w:w="236" w:type="dxa"/>
            <w:vAlign w:val="center"/>
          </w:tcPr>
          <w:p w14:paraId="12E551B2">
            <w:pPr>
              <w:widowControl/>
              <w:rPr>
                <w:rFonts w:eastAsia="Times New Roman"/>
              </w:rPr>
            </w:pPr>
          </w:p>
        </w:tc>
      </w:tr>
      <w:tr w14:paraId="2500A2AD">
        <w:trPr>
          <w:trHeight w:val="1100" w:hRule="atLeast"/>
        </w:trPr>
        <w:tc>
          <w:tcPr>
            <w:tcW w:w="697" w:type="dxa"/>
            <w:tcBorders>
              <w:top w:val="nil"/>
              <w:left w:val="single" w:color="auto" w:sz="4" w:space="0"/>
              <w:bottom w:val="single" w:color="auto" w:sz="4" w:space="0"/>
              <w:right w:val="single" w:color="auto" w:sz="4" w:space="0"/>
            </w:tcBorders>
            <w:noWrap/>
            <w:vAlign w:val="center"/>
          </w:tcPr>
          <w:p w14:paraId="61CA57A3">
            <w:pPr>
              <w:jc w:val="center"/>
              <w:rPr>
                <w:rFonts w:eastAsia="仿宋_GB2312"/>
                <w:bCs/>
                <w:sz w:val="24"/>
                <w:szCs w:val="24"/>
              </w:rPr>
            </w:pPr>
            <w:r>
              <w:rPr>
                <w:rFonts w:hint="eastAsia" w:eastAsia="仿宋_GB2312"/>
                <w:bCs/>
                <w:sz w:val="24"/>
                <w:szCs w:val="24"/>
              </w:rPr>
              <w:t>16</w:t>
            </w:r>
          </w:p>
        </w:tc>
        <w:tc>
          <w:tcPr>
            <w:tcW w:w="2854" w:type="dxa"/>
            <w:tcBorders>
              <w:top w:val="nil"/>
              <w:left w:val="nil"/>
              <w:bottom w:val="single" w:color="auto" w:sz="4" w:space="0"/>
              <w:right w:val="single" w:color="auto" w:sz="4" w:space="0"/>
            </w:tcBorders>
            <w:vAlign w:val="center"/>
          </w:tcPr>
          <w:p w14:paraId="2A90F6D0">
            <w:pPr>
              <w:jc w:val="both"/>
              <w:rPr>
                <w:rFonts w:eastAsia="仿宋_GB2312"/>
                <w:bCs/>
                <w:sz w:val="24"/>
                <w:szCs w:val="24"/>
              </w:rPr>
            </w:pPr>
            <w:r>
              <w:rPr>
                <w:rFonts w:hint="eastAsia" w:eastAsia="仿宋_GB2312"/>
                <w:bCs/>
                <w:sz w:val="24"/>
                <w:szCs w:val="24"/>
              </w:rPr>
              <w:t>浙江兴峰石业有限公司</w:t>
            </w:r>
            <w:r>
              <w:rPr>
                <w:rFonts w:hint="eastAsia" w:eastAsia="仿宋_GB2312"/>
                <w:bCs/>
                <w:sz w:val="24"/>
                <w:szCs w:val="24"/>
              </w:rPr>
              <w:br w:type="textWrapping"/>
            </w:r>
            <w:r>
              <w:rPr>
                <w:rFonts w:hint="eastAsia" w:eastAsia="仿宋_GB2312"/>
                <w:bCs/>
                <w:sz w:val="24"/>
                <w:szCs w:val="24"/>
              </w:rPr>
              <w:t>遂昌县云峰街道连头村建筑用花岗岩矿地综合开发利用试点项目</w:t>
            </w:r>
          </w:p>
        </w:tc>
        <w:tc>
          <w:tcPr>
            <w:tcW w:w="935" w:type="dxa"/>
            <w:tcBorders>
              <w:top w:val="nil"/>
              <w:left w:val="nil"/>
              <w:bottom w:val="single" w:color="auto" w:sz="4" w:space="0"/>
              <w:right w:val="single" w:color="auto" w:sz="4" w:space="0"/>
            </w:tcBorders>
            <w:noWrap/>
            <w:vAlign w:val="center"/>
          </w:tcPr>
          <w:p w14:paraId="165957F1">
            <w:pPr>
              <w:jc w:val="center"/>
              <w:rPr>
                <w:rFonts w:eastAsia="仿宋_GB2312"/>
                <w:bCs/>
                <w:sz w:val="24"/>
                <w:szCs w:val="24"/>
              </w:rPr>
            </w:pPr>
            <w:r>
              <w:rPr>
                <w:rFonts w:hint="eastAsia" w:eastAsia="仿宋_GB2312"/>
                <w:bCs/>
                <w:sz w:val="24"/>
                <w:szCs w:val="24"/>
              </w:rPr>
              <w:t>露天</w:t>
            </w:r>
          </w:p>
        </w:tc>
        <w:tc>
          <w:tcPr>
            <w:tcW w:w="1313" w:type="dxa"/>
            <w:tcBorders>
              <w:top w:val="nil"/>
              <w:left w:val="nil"/>
              <w:bottom w:val="single" w:color="auto" w:sz="4" w:space="0"/>
              <w:right w:val="single" w:color="auto" w:sz="4" w:space="0"/>
            </w:tcBorders>
            <w:noWrap/>
            <w:vAlign w:val="center"/>
          </w:tcPr>
          <w:p w14:paraId="7C8F6BE0">
            <w:pPr>
              <w:jc w:val="center"/>
              <w:rPr>
                <w:rFonts w:eastAsia="仿宋_GB2312"/>
                <w:bCs/>
                <w:sz w:val="24"/>
                <w:szCs w:val="24"/>
              </w:rPr>
            </w:pPr>
            <w:r>
              <w:rPr>
                <w:rFonts w:hint="eastAsia" w:eastAsia="仿宋_GB2312"/>
                <w:bCs/>
                <w:sz w:val="24"/>
                <w:szCs w:val="24"/>
              </w:rPr>
              <w:t>花岗岩</w:t>
            </w:r>
          </w:p>
        </w:tc>
        <w:tc>
          <w:tcPr>
            <w:tcW w:w="989" w:type="dxa"/>
            <w:tcBorders>
              <w:top w:val="nil"/>
              <w:left w:val="nil"/>
              <w:bottom w:val="single" w:color="auto" w:sz="4" w:space="0"/>
              <w:right w:val="single" w:color="auto" w:sz="4" w:space="0"/>
            </w:tcBorders>
            <w:vAlign w:val="center"/>
          </w:tcPr>
          <w:p w14:paraId="252A5A7A">
            <w:pPr>
              <w:jc w:val="center"/>
              <w:rPr>
                <w:rFonts w:eastAsia="仿宋_GB2312"/>
                <w:bCs/>
                <w:sz w:val="24"/>
                <w:szCs w:val="24"/>
              </w:rPr>
            </w:pPr>
            <w:r>
              <w:rPr>
                <w:rFonts w:hint="eastAsia" w:eastAsia="仿宋_GB2312"/>
                <w:bCs/>
                <w:sz w:val="24"/>
                <w:szCs w:val="24"/>
              </w:rPr>
              <w:t>460万吨/年</w:t>
            </w:r>
          </w:p>
        </w:tc>
        <w:tc>
          <w:tcPr>
            <w:tcW w:w="1272" w:type="dxa"/>
            <w:tcBorders>
              <w:top w:val="nil"/>
              <w:left w:val="nil"/>
              <w:bottom w:val="single" w:color="auto" w:sz="4" w:space="0"/>
              <w:right w:val="single" w:color="auto" w:sz="4" w:space="0"/>
            </w:tcBorders>
            <w:noWrap/>
            <w:vAlign w:val="center"/>
          </w:tcPr>
          <w:p w14:paraId="64DDB596">
            <w:pPr>
              <w:jc w:val="center"/>
              <w:rPr>
                <w:rFonts w:eastAsia="仿宋_GB2312"/>
                <w:bCs/>
                <w:sz w:val="24"/>
                <w:szCs w:val="24"/>
              </w:rPr>
            </w:pPr>
            <w:r>
              <w:rPr>
                <w:rFonts w:hint="eastAsia" w:eastAsia="仿宋_GB2312"/>
                <w:bCs/>
                <w:sz w:val="24"/>
                <w:szCs w:val="24"/>
              </w:rPr>
              <w:t>正常生产</w:t>
            </w:r>
          </w:p>
        </w:tc>
        <w:tc>
          <w:tcPr>
            <w:tcW w:w="236" w:type="dxa"/>
            <w:vAlign w:val="center"/>
          </w:tcPr>
          <w:p w14:paraId="288C2F55">
            <w:pPr>
              <w:widowControl/>
              <w:rPr>
                <w:rFonts w:eastAsia="Times New Roman"/>
              </w:rPr>
            </w:pPr>
          </w:p>
        </w:tc>
      </w:tr>
      <w:tr w14:paraId="1984604D">
        <w:trPr>
          <w:trHeight w:val="90" w:hRule="atLeast"/>
        </w:trPr>
        <w:tc>
          <w:tcPr>
            <w:tcW w:w="697" w:type="dxa"/>
            <w:tcBorders>
              <w:top w:val="nil"/>
              <w:left w:val="single" w:color="auto" w:sz="4" w:space="0"/>
              <w:bottom w:val="single" w:color="auto" w:sz="4" w:space="0"/>
              <w:right w:val="single" w:color="auto" w:sz="4" w:space="0"/>
            </w:tcBorders>
            <w:noWrap/>
            <w:vAlign w:val="center"/>
          </w:tcPr>
          <w:p w14:paraId="246D95AD">
            <w:pPr>
              <w:jc w:val="center"/>
              <w:rPr>
                <w:rFonts w:eastAsia="仿宋_GB2312"/>
                <w:bCs/>
                <w:sz w:val="24"/>
                <w:szCs w:val="24"/>
              </w:rPr>
            </w:pPr>
            <w:r>
              <w:rPr>
                <w:rFonts w:hint="eastAsia" w:eastAsia="仿宋_GB2312"/>
                <w:bCs/>
                <w:sz w:val="24"/>
                <w:szCs w:val="24"/>
              </w:rPr>
              <w:t>17</w:t>
            </w:r>
          </w:p>
        </w:tc>
        <w:tc>
          <w:tcPr>
            <w:tcW w:w="2854" w:type="dxa"/>
            <w:tcBorders>
              <w:top w:val="nil"/>
              <w:left w:val="nil"/>
              <w:bottom w:val="single" w:color="auto" w:sz="4" w:space="0"/>
              <w:right w:val="single" w:color="auto" w:sz="4" w:space="0"/>
            </w:tcBorders>
            <w:vAlign w:val="center"/>
          </w:tcPr>
          <w:p w14:paraId="1B13C49F">
            <w:pPr>
              <w:jc w:val="both"/>
              <w:rPr>
                <w:rFonts w:eastAsia="仿宋_GB2312"/>
                <w:bCs/>
                <w:sz w:val="24"/>
                <w:szCs w:val="24"/>
              </w:rPr>
            </w:pPr>
            <w:r>
              <w:rPr>
                <w:rFonts w:hint="eastAsia" w:eastAsia="仿宋_GB2312"/>
                <w:bCs/>
                <w:sz w:val="24"/>
                <w:szCs w:val="24"/>
              </w:rPr>
              <w:t>浙江经盛新能源有限公司浙江省遂昌县云峰街道龙板山矿地综合利用项目建筑用花岗岩矿</w:t>
            </w:r>
          </w:p>
        </w:tc>
        <w:tc>
          <w:tcPr>
            <w:tcW w:w="935" w:type="dxa"/>
            <w:tcBorders>
              <w:top w:val="nil"/>
              <w:left w:val="nil"/>
              <w:bottom w:val="single" w:color="auto" w:sz="4" w:space="0"/>
              <w:right w:val="single" w:color="auto" w:sz="4" w:space="0"/>
            </w:tcBorders>
            <w:noWrap/>
            <w:vAlign w:val="center"/>
          </w:tcPr>
          <w:p w14:paraId="606AD922">
            <w:pPr>
              <w:jc w:val="center"/>
              <w:rPr>
                <w:rFonts w:eastAsia="仿宋_GB2312"/>
                <w:bCs/>
                <w:sz w:val="24"/>
                <w:szCs w:val="24"/>
              </w:rPr>
            </w:pPr>
            <w:r>
              <w:rPr>
                <w:rFonts w:hint="eastAsia" w:eastAsia="仿宋_GB2312"/>
                <w:bCs/>
                <w:sz w:val="24"/>
                <w:szCs w:val="24"/>
              </w:rPr>
              <w:t>露天</w:t>
            </w:r>
          </w:p>
        </w:tc>
        <w:tc>
          <w:tcPr>
            <w:tcW w:w="1313" w:type="dxa"/>
            <w:tcBorders>
              <w:top w:val="nil"/>
              <w:left w:val="nil"/>
              <w:bottom w:val="single" w:color="auto" w:sz="4" w:space="0"/>
              <w:right w:val="single" w:color="auto" w:sz="4" w:space="0"/>
            </w:tcBorders>
            <w:noWrap/>
            <w:vAlign w:val="center"/>
          </w:tcPr>
          <w:p w14:paraId="7E18D13A">
            <w:pPr>
              <w:jc w:val="center"/>
              <w:rPr>
                <w:rFonts w:eastAsia="仿宋_GB2312"/>
                <w:bCs/>
                <w:sz w:val="24"/>
                <w:szCs w:val="24"/>
              </w:rPr>
            </w:pPr>
            <w:r>
              <w:rPr>
                <w:rFonts w:hint="eastAsia" w:eastAsia="仿宋_GB2312"/>
                <w:bCs/>
                <w:sz w:val="24"/>
                <w:szCs w:val="24"/>
              </w:rPr>
              <w:t>花岗岩</w:t>
            </w:r>
          </w:p>
        </w:tc>
        <w:tc>
          <w:tcPr>
            <w:tcW w:w="989" w:type="dxa"/>
            <w:tcBorders>
              <w:top w:val="nil"/>
              <w:left w:val="nil"/>
              <w:bottom w:val="single" w:color="auto" w:sz="4" w:space="0"/>
              <w:right w:val="single" w:color="auto" w:sz="4" w:space="0"/>
            </w:tcBorders>
            <w:vAlign w:val="center"/>
          </w:tcPr>
          <w:p w14:paraId="191FA325">
            <w:pPr>
              <w:jc w:val="center"/>
              <w:rPr>
                <w:rFonts w:eastAsia="仿宋_GB2312"/>
                <w:bCs/>
                <w:sz w:val="24"/>
                <w:szCs w:val="24"/>
              </w:rPr>
            </w:pPr>
            <w:r>
              <w:rPr>
                <w:rFonts w:hint="eastAsia" w:eastAsia="仿宋_GB2312"/>
                <w:bCs/>
                <w:sz w:val="24"/>
                <w:szCs w:val="24"/>
              </w:rPr>
              <w:t>950万吨/年</w:t>
            </w:r>
          </w:p>
        </w:tc>
        <w:tc>
          <w:tcPr>
            <w:tcW w:w="1272" w:type="dxa"/>
            <w:tcBorders>
              <w:top w:val="nil"/>
              <w:left w:val="nil"/>
              <w:bottom w:val="single" w:color="auto" w:sz="4" w:space="0"/>
              <w:right w:val="single" w:color="auto" w:sz="4" w:space="0"/>
            </w:tcBorders>
            <w:noWrap/>
            <w:vAlign w:val="center"/>
          </w:tcPr>
          <w:p w14:paraId="6DC28CB1">
            <w:pPr>
              <w:jc w:val="center"/>
              <w:rPr>
                <w:rFonts w:eastAsia="仿宋_GB2312"/>
                <w:bCs/>
                <w:sz w:val="24"/>
                <w:szCs w:val="24"/>
              </w:rPr>
            </w:pPr>
            <w:r>
              <w:rPr>
                <w:rFonts w:hint="eastAsia" w:eastAsia="仿宋_GB2312"/>
                <w:bCs/>
                <w:sz w:val="24"/>
                <w:szCs w:val="24"/>
              </w:rPr>
              <w:t>正常生产</w:t>
            </w:r>
          </w:p>
        </w:tc>
        <w:tc>
          <w:tcPr>
            <w:tcW w:w="236" w:type="dxa"/>
            <w:vAlign w:val="center"/>
          </w:tcPr>
          <w:p w14:paraId="5B9C62BA">
            <w:pPr>
              <w:widowControl/>
              <w:rPr>
                <w:rFonts w:eastAsia="Times New Roman"/>
              </w:rPr>
            </w:pPr>
          </w:p>
        </w:tc>
      </w:tr>
      <w:tr w14:paraId="358F36B0">
        <w:trPr>
          <w:trHeight w:val="980" w:hRule="atLeast"/>
        </w:trPr>
        <w:tc>
          <w:tcPr>
            <w:tcW w:w="697" w:type="dxa"/>
            <w:tcBorders>
              <w:top w:val="nil"/>
              <w:left w:val="single" w:color="auto" w:sz="4" w:space="0"/>
              <w:bottom w:val="single" w:color="auto" w:sz="4" w:space="0"/>
              <w:right w:val="single" w:color="auto" w:sz="4" w:space="0"/>
            </w:tcBorders>
            <w:noWrap/>
            <w:vAlign w:val="center"/>
          </w:tcPr>
          <w:p w14:paraId="066F1E93">
            <w:pPr>
              <w:jc w:val="center"/>
              <w:rPr>
                <w:rFonts w:eastAsia="仿宋_GB2312"/>
                <w:bCs/>
                <w:sz w:val="24"/>
                <w:szCs w:val="24"/>
              </w:rPr>
            </w:pPr>
            <w:r>
              <w:rPr>
                <w:rFonts w:hint="eastAsia" w:eastAsia="仿宋_GB2312"/>
                <w:bCs/>
                <w:sz w:val="24"/>
                <w:szCs w:val="24"/>
              </w:rPr>
              <w:t>18</w:t>
            </w:r>
          </w:p>
        </w:tc>
        <w:tc>
          <w:tcPr>
            <w:tcW w:w="2854" w:type="dxa"/>
            <w:tcBorders>
              <w:top w:val="nil"/>
              <w:left w:val="nil"/>
              <w:bottom w:val="single" w:color="auto" w:sz="4" w:space="0"/>
              <w:right w:val="single" w:color="auto" w:sz="4" w:space="0"/>
            </w:tcBorders>
            <w:vAlign w:val="center"/>
          </w:tcPr>
          <w:p w14:paraId="6FF4B482">
            <w:pPr>
              <w:jc w:val="both"/>
              <w:rPr>
                <w:rFonts w:eastAsia="仿宋_GB2312"/>
                <w:bCs/>
                <w:sz w:val="24"/>
                <w:szCs w:val="24"/>
              </w:rPr>
            </w:pPr>
            <w:r>
              <w:rPr>
                <w:rFonts w:hint="eastAsia" w:eastAsia="仿宋_GB2312"/>
                <w:bCs/>
                <w:sz w:val="24"/>
                <w:szCs w:val="24"/>
              </w:rPr>
              <w:t>遂昌县明典石业有限公司浙江省遂昌县上市矿区饰面用花岗岩矿</w:t>
            </w:r>
          </w:p>
        </w:tc>
        <w:tc>
          <w:tcPr>
            <w:tcW w:w="935" w:type="dxa"/>
            <w:tcBorders>
              <w:top w:val="nil"/>
              <w:left w:val="nil"/>
              <w:bottom w:val="single" w:color="auto" w:sz="4" w:space="0"/>
              <w:right w:val="single" w:color="auto" w:sz="4" w:space="0"/>
            </w:tcBorders>
            <w:noWrap/>
            <w:vAlign w:val="center"/>
          </w:tcPr>
          <w:p w14:paraId="19BDC788">
            <w:pPr>
              <w:jc w:val="center"/>
              <w:rPr>
                <w:rFonts w:eastAsia="仿宋_GB2312"/>
                <w:bCs/>
                <w:sz w:val="24"/>
                <w:szCs w:val="24"/>
              </w:rPr>
            </w:pPr>
            <w:r>
              <w:rPr>
                <w:rFonts w:hint="eastAsia" w:eastAsia="仿宋_GB2312"/>
                <w:bCs/>
                <w:sz w:val="24"/>
                <w:szCs w:val="24"/>
              </w:rPr>
              <w:t>露天</w:t>
            </w:r>
          </w:p>
        </w:tc>
        <w:tc>
          <w:tcPr>
            <w:tcW w:w="1313" w:type="dxa"/>
            <w:tcBorders>
              <w:top w:val="nil"/>
              <w:left w:val="nil"/>
              <w:bottom w:val="single" w:color="auto" w:sz="4" w:space="0"/>
              <w:right w:val="single" w:color="auto" w:sz="4" w:space="0"/>
            </w:tcBorders>
            <w:noWrap/>
            <w:vAlign w:val="center"/>
          </w:tcPr>
          <w:p w14:paraId="209C59E4">
            <w:pPr>
              <w:jc w:val="center"/>
              <w:rPr>
                <w:rFonts w:eastAsia="仿宋_GB2312"/>
                <w:bCs/>
                <w:sz w:val="24"/>
                <w:szCs w:val="24"/>
              </w:rPr>
            </w:pPr>
            <w:r>
              <w:rPr>
                <w:rFonts w:hint="eastAsia" w:eastAsia="仿宋_GB2312"/>
                <w:bCs/>
                <w:sz w:val="24"/>
                <w:szCs w:val="24"/>
              </w:rPr>
              <w:t>花岗岩</w:t>
            </w:r>
          </w:p>
        </w:tc>
        <w:tc>
          <w:tcPr>
            <w:tcW w:w="989" w:type="dxa"/>
            <w:tcBorders>
              <w:top w:val="nil"/>
              <w:left w:val="nil"/>
              <w:bottom w:val="single" w:color="auto" w:sz="4" w:space="0"/>
              <w:right w:val="single" w:color="auto" w:sz="4" w:space="0"/>
            </w:tcBorders>
            <w:vAlign w:val="center"/>
          </w:tcPr>
          <w:p w14:paraId="29313D1F">
            <w:pPr>
              <w:jc w:val="center"/>
              <w:rPr>
                <w:rFonts w:eastAsia="仿宋_GB2312"/>
                <w:bCs/>
                <w:sz w:val="24"/>
                <w:szCs w:val="24"/>
              </w:rPr>
            </w:pPr>
            <w:r>
              <w:rPr>
                <w:rFonts w:hint="eastAsia" w:eastAsia="仿宋_GB2312"/>
                <w:bCs/>
                <w:sz w:val="24"/>
                <w:szCs w:val="24"/>
              </w:rPr>
              <w:t>20万立方米/年</w:t>
            </w:r>
          </w:p>
        </w:tc>
        <w:tc>
          <w:tcPr>
            <w:tcW w:w="1272" w:type="dxa"/>
            <w:tcBorders>
              <w:top w:val="nil"/>
              <w:left w:val="nil"/>
              <w:bottom w:val="single" w:color="auto" w:sz="4" w:space="0"/>
              <w:right w:val="single" w:color="auto" w:sz="4" w:space="0"/>
            </w:tcBorders>
            <w:shd w:val="clear" w:color="auto" w:fill="FFFFFF" w:themeFill="background1"/>
            <w:vAlign w:val="center"/>
          </w:tcPr>
          <w:p w14:paraId="61029810">
            <w:pPr>
              <w:jc w:val="center"/>
              <w:rPr>
                <w:rFonts w:eastAsia="仿宋_GB2312"/>
                <w:bCs/>
                <w:sz w:val="24"/>
                <w:szCs w:val="24"/>
              </w:rPr>
            </w:pPr>
            <w:r>
              <w:rPr>
                <w:rFonts w:hint="eastAsia" w:eastAsia="仿宋_GB2312"/>
                <w:bCs/>
                <w:sz w:val="24"/>
                <w:szCs w:val="24"/>
              </w:rPr>
              <w:t>停产（未开展安全设施设计）</w:t>
            </w:r>
          </w:p>
        </w:tc>
        <w:tc>
          <w:tcPr>
            <w:tcW w:w="236" w:type="dxa"/>
            <w:vAlign w:val="center"/>
          </w:tcPr>
          <w:p w14:paraId="3B909ACB">
            <w:pPr>
              <w:widowControl/>
              <w:rPr>
                <w:rFonts w:eastAsia="Times New Roman"/>
              </w:rPr>
            </w:pPr>
          </w:p>
        </w:tc>
      </w:tr>
      <w:tr w14:paraId="3E613E48">
        <w:trPr>
          <w:trHeight w:val="685" w:hRule="atLeast"/>
        </w:trPr>
        <w:tc>
          <w:tcPr>
            <w:tcW w:w="697" w:type="dxa"/>
            <w:tcBorders>
              <w:top w:val="nil"/>
              <w:left w:val="single" w:color="auto" w:sz="4" w:space="0"/>
              <w:bottom w:val="single" w:color="auto" w:sz="4" w:space="0"/>
              <w:right w:val="single" w:color="auto" w:sz="4" w:space="0"/>
            </w:tcBorders>
            <w:noWrap/>
            <w:vAlign w:val="center"/>
          </w:tcPr>
          <w:p w14:paraId="5231C8B7">
            <w:pPr>
              <w:jc w:val="center"/>
              <w:rPr>
                <w:rFonts w:eastAsia="仿宋_GB2312"/>
                <w:bCs/>
                <w:sz w:val="24"/>
                <w:szCs w:val="24"/>
              </w:rPr>
            </w:pPr>
            <w:r>
              <w:rPr>
                <w:rFonts w:hint="eastAsia" w:eastAsia="仿宋_GB2312"/>
                <w:bCs/>
                <w:sz w:val="24"/>
                <w:szCs w:val="24"/>
              </w:rPr>
              <w:t>19</w:t>
            </w:r>
          </w:p>
        </w:tc>
        <w:tc>
          <w:tcPr>
            <w:tcW w:w="2854" w:type="dxa"/>
            <w:tcBorders>
              <w:top w:val="nil"/>
              <w:left w:val="nil"/>
              <w:bottom w:val="single" w:color="auto" w:sz="4" w:space="0"/>
              <w:right w:val="single" w:color="auto" w:sz="4" w:space="0"/>
            </w:tcBorders>
            <w:vAlign w:val="center"/>
          </w:tcPr>
          <w:p w14:paraId="5AEDF8F5">
            <w:pPr>
              <w:jc w:val="both"/>
              <w:rPr>
                <w:rFonts w:eastAsia="仿宋_GB2312"/>
                <w:bCs/>
                <w:sz w:val="24"/>
                <w:szCs w:val="24"/>
              </w:rPr>
            </w:pPr>
            <w:r>
              <w:rPr>
                <w:rFonts w:hint="eastAsia" w:eastAsia="仿宋_GB2312"/>
                <w:bCs/>
                <w:sz w:val="24"/>
                <w:szCs w:val="24"/>
              </w:rPr>
              <w:t>浙江省遂昌县金石矿业有限公司湖山乡第二萤石矿</w:t>
            </w:r>
          </w:p>
        </w:tc>
        <w:tc>
          <w:tcPr>
            <w:tcW w:w="935" w:type="dxa"/>
            <w:tcBorders>
              <w:top w:val="nil"/>
              <w:left w:val="nil"/>
              <w:bottom w:val="single" w:color="auto" w:sz="4" w:space="0"/>
              <w:right w:val="single" w:color="auto" w:sz="4" w:space="0"/>
            </w:tcBorders>
            <w:vAlign w:val="center"/>
          </w:tcPr>
          <w:p w14:paraId="7674BF18">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77D3F1BA">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18ED7012">
            <w:pPr>
              <w:jc w:val="center"/>
              <w:rPr>
                <w:rFonts w:eastAsia="仿宋_GB2312"/>
                <w:bCs/>
                <w:sz w:val="24"/>
                <w:szCs w:val="24"/>
              </w:rPr>
            </w:pPr>
            <w:r>
              <w:rPr>
                <w:rFonts w:hint="eastAsia" w:eastAsia="仿宋_GB2312"/>
                <w:bCs/>
                <w:sz w:val="24"/>
                <w:szCs w:val="24"/>
              </w:rPr>
              <w:t>3万吨/年</w:t>
            </w:r>
          </w:p>
        </w:tc>
        <w:tc>
          <w:tcPr>
            <w:tcW w:w="1272" w:type="dxa"/>
            <w:tcBorders>
              <w:top w:val="nil"/>
              <w:left w:val="nil"/>
              <w:bottom w:val="single" w:color="auto" w:sz="4" w:space="0"/>
              <w:right w:val="single" w:color="auto" w:sz="4" w:space="0"/>
            </w:tcBorders>
            <w:shd w:val="clear" w:color="auto" w:fill="FFFFFF" w:themeFill="background1"/>
            <w:vAlign w:val="center"/>
          </w:tcPr>
          <w:p w14:paraId="67F133FC">
            <w:pPr>
              <w:jc w:val="center"/>
              <w:rPr>
                <w:rFonts w:eastAsia="仿宋_GB2312"/>
                <w:bCs/>
                <w:sz w:val="24"/>
                <w:szCs w:val="24"/>
              </w:rPr>
            </w:pPr>
            <w:r>
              <w:rPr>
                <w:rFonts w:hint="eastAsia" w:eastAsia="仿宋_GB2312"/>
                <w:bCs/>
                <w:sz w:val="24"/>
                <w:szCs w:val="24"/>
              </w:rPr>
              <w:t>停产（未开展安全设施设计）</w:t>
            </w:r>
          </w:p>
        </w:tc>
        <w:tc>
          <w:tcPr>
            <w:tcW w:w="236" w:type="dxa"/>
            <w:vAlign w:val="center"/>
          </w:tcPr>
          <w:p w14:paraId="2B643565">
            <w:pPr>
              <w:widowControl/>
              <w:rPr>
                <w:rFonts w:eastAsia="Times New Roman"/>
              </w:rPr>
            </w:pPr>
          </w:p>
        </w:tc>
      </w:tr>
      <w:tr w14:paraId="1247DFAD">
        <w:trPr>
          <w:trHeight w:val="960" w:hRule="atLeast"/>
        </w:trPr>
        <w:tc>
          <w:tcPr>
            <w:tcW w:w="697" w:type="dxa"/>
            <w:tcBorders>
              <w:top w:val="nil"/>
              <w:left w:val="single" w:color="auto" w:sz="4" w:space="0"/>
              <w:bottom w:val="single" w:color="auto" w:sz="4" w:space="0"/>
              <w:right w:val="single" w:color="auto" w:sz="4" w:space="0"/>
            </w:tcBorders>
            <w:noWrap/>
            <w:vAlign w:val="center"/>
          </w:tcPr>
          <w:p w14:paraId="339F1AC9">
            <w:pPr>
              <w:jc w:val="center"/>
              <w:rPr>
                <w:rFonts w:eastAsia="仿宋_GB2312"/>
                <w:bCs/>
                <w:sz w:val="24"/>
                <w:szCs w:val="24"/>
              </w:rPr>
            </w:pPr>
            <w:r>
              <w:rPr>
                <w:rFonts w:hint="eastAsia" w:eastAsia="仿宋_GB2312"/>
                <w:bCs/>
                <w:sz w:val="24"/>
                <w:szCs w:val="24"/>
              </w:rPr>
              <w:t>20</w:t>
            </w:r>
          </w:p>
        </w:tc>
        <w:tc>
          <w:tcPr>
            <w:tcW w:w="2854" w:type="dxa"/>
            <w:tcBorders>
              <w:top w:val="nil"/>
              <w:left w:val="nil"/>
              <w:bottom w:val="single" w:color="auto" w:sz="4" w:space="0"/>
              <w:right w:val="single" w:color="auto" w:sz="4" w:space="0"/>
            </w:tcBorders>
            <w:vAlign w:val="center"/>
          </w:tcPr>
          <w:p w14:paraId="79D3678F">
            <w:pPr>
              <w:jc w:val="both"/>
              <w:rPr>
                <w:rFonts w:eastAsia="仿宋_GB2312"/>
                <w:bCs/>
                <w:sz w:val="24"/>
                <w:szCs w:val="24"/>
              </w:rPr>
            </w:pPr>
            <w:r>
              <w:rPr>
                <w:rFonts w:hint="eastAsia" w:eastAsia="仿宋_GB2312"/>
                <w:bCs/>
                <w:sz w:val="24"/>
                <w:szCs w:val="24"/>
              </w:rPr>
              <w:t>遂昌乾丰矿业有限公司</w:t>
            </w:r>
            <w:r>
              <w:rPr>
                <w:rFonts w:hint="eastAsia" w:eastAsia="仿宋_GB2312"/>
                <w:bCs/>
                <w:sz w:val="24"/>
                <w:szCs w:val="24"/>
              </w:rPr>
              <w:br w:type="textWrapping"/>
            </w:r>
            <w:r>
              <w:rPr>
                <w:rFonts w:hint="eastAsia" w:eastAsia="仿宋_GB2312"/>
                <w:bCs/>
                <w:sz w:val="24"/>
                <w:szCs w:val="24"/>
              </w:rPr>
              <w:t>浙江省遂昌县云峰镇天堂矿区萤石矿</w:t>
            </w:r>
          </w:p>
        </w:tc>
        <w:tc>
          <w:tcPr>
            <w:tcW w:w="935" w:type="dxa"/>
            <w:tcBorders>
              <w:top w:val="nil"/>
              <w:left w:val="nil"/>
              <w:bottom w:val="single" w:color="auto" w:sz="4" w:space="0"/>
              <w:right w:val="single" w:color="auto" w:sz="4" w:space="0"/>
            </w:tcBorders>
            <w:vAlign w:val="center"/>
          </w:tcPr>
          <w:p w14:paraId="3E38D149">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noWrap/>
            <w:vAlign w:val="center"/>
          </w:tcPr>
          <w:p w14:paraId="24C1AC92">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350628B8">
            <w:pPr>
              <w:jc w:val="center"/>
              <w:rPr>
                <w:rFonts w:eastAsia="仿宋_GB2312"/>
                <w:bCs/>
                <w:sz w:val="24"/>
                <w:szCs w:val="24"/>
              </w:rPr>
            </w:pPr>
            <w:r>
              <w:rPr>
                <w:rFonts w:hint="eastAsia" w:eastAsia="仿宋_GB2312"/>
                <w:bCs/>
                <w:sz w:val="24"/>
                <w:szCs w:val="24"/>
              </w:rPr>
              <w:t>5万吨/年</w:t>
            </w:r>
          </w:p>
        </w:tc>
        <w:tc>
          <w:tcPr>
            <w:tcW w:w="1272" w:type="dxa"/>
            <w:tcBorders>
              <w:top w:val="nil"/>
              <w:left w:val="nil"/>
              <w:bottom w:val="single" w:color="auto" w:sz="4" w:space="0"/>
              <w:right w:val="single" w:color="auto" w:sz="4" w:space="0"/>
            </w:tcBorders>
            <w:shd w:val="clear" w:color="auto" w:fill="FFFFFF" w:themeFill="background1"/>
            <w:vAlign w:val="center"/>
          </w:tcPr>
          <w:p w14:paraId="4854DFDA">
            <w:pPr>
              <w:jc w:val="center"/>
              <w:rPr>
                <w:rFonts w:eastAsia="仿宋_GB2312"/>
                <w:bCs/>
                <w:sz w:val="24"/>
                <w:szCs w:val="24"/>
              </w:rPr>
            </w:pPr>
            <w:r>
              <w:rPr>
                <w:rFonts w:hint="eastAsia" w:eastAsia="仿宋_GB2312"/>
                <w:bCs/>
                <w:sz w:val="24"/>
                <w:szCs w:val="24"/>
              </w:rPr>
              <w:t>停产（设计报批阶段）</w:t>
            </w:r>
          </w:p>
        </w:tc>
        <w:tc>
          <w:tcPr>
            <w:tcW w:w="236" w:type="dxa"/>
            <w:vAlign w:val="center"/>
          </w:tcPr>
          <w:p w14:paraId="7B1C9332">
            <w:pPr>
              <w:widowControl/>
              <w:rPr>
                <w:rFonts w:eastAsia="Times New Roman"/>
              </w:rPr>
            </w:pPr>
          </w:p>
        </w:tc>
      </w:tr>
      <w:tr w14:paraId="4C93A033">
        <w:trPr>
          <w:trHeight w:val="980" w:hRule="atLeast"/>
        </w:trPr>
        <w:tc>
          <w:tcPr>
            <w:tcW w:w="697" w:type="dxa"/>
            <w:tcBorders>
              <w:top w:val="nil"/>
              <w:left w:val="single" w:color="auto" w:sz="4" w:space="0"/>
              <w:bottom w:val="single" w:color="auto" w:sz="4" w:space="0"/>
              <w:right w:val="single" w:color="auto" w:sz="4" w:space="0"/>
            </w:tcBorders>
            <w:noWrap/>
            <w:vAlign w:val="center"/>
          </w:tcPr>
          <w:p w14:paraId="6A5CA2B9">
            <w:pPr>
              <w:jc w:val="center"/>
              <w:rPr>
                <w:rFonts w:eastAsia="仿宋_GB2312"/>
                <w:bCs/>
                <w:sz w:val="24"/>
                <w:szCs w:val="24"/>
              </w:rPr>
            </w:pPr>
            <w:r>
              <w:rPr>
                <w:rFonts w:hint="eastAsia" w:eastAsia="仿宋_GB2312"/>
                <w:bCs/>
                <w:sz w:val="24"/>
                <w:szCs w:val="24"/>
              </w:rPr>
              <w:t>21</w:t>
            </w:r>
          </w:p>
        </w:tc>
        <w:tc>
          <w:tcPr>
            <w:tcW w:w="2854" w:type="dxa"/>
            <w:tcBorders>
              <w:top w:val="nil"/>
              <w:left w:val="nil"/>
              <w:bottom w:val="single" w:color="auto" w:sz="4" w:space="0"/>
              <w:right w:val="single" w:color="auto" w:sz="4" w:space="0"/>
            </w:tcBorders>
            <w:vAlign w:val="center"/>
          </w:tcPr>
          <w:p w14:paraId="7EDB79DB">
            <w:pPr>
              <w:jc w:val="both"/>
              <w:rPr>
                <w:rFonts w:eastAsia="仿宋_GB2312"/>
                <w:bCs/>
                <w:sz w:val="24"/>
                <w:szCs w:val="24"/>
              </w:rPr>
            </w:pPr>
            <w:r>
              <w:rPr>
                <w:rFonts w:hint="eastAsia" w:eastAsia="仿宋_GB2312"/>
                <w:bCs/>
                <w:sz w:val="24"/>
                <w:szCs w:val="24"/>
              </w:rPr>
              <w:t>遂昌银盛矿业有限公司</w:t>
            </w:r>
            <w:r>
              <w:rPr>
                <w:rFonts w:hint="eastAsia" w:eastAsia="仿宋_GB2312"/>
                <w:bCs/>
                <w:sz w:val="24"/>
                <w:szCs w:val="24"/>
              </w:rPr>
              <w:br w:type="textWrapping"/>
            </w:r>
            <w:r>
              <w:rPr>
                <w:rFonts w:hint="eastAsia" w:eastAsia="仿宋_GB2312"/>
                <w:bCs/>
                <w:sz w:val="24"/>
                <w:szCs w:val="24"/>
              </w:rPr>
              <w:t>浙江遂昌金田寺银钴铜矿</w:t>
            </w:r>
          </w:p>
        </w:tc>
        <w:tc>
          <w:tcPr>
            <w:tcW w:w="935" w:type="dxa"/>
            <w:tcBorders>
              <w:top w:val="nil"/>
              <w:left w:val="nil"/>
              <w:bottom w:val="single" w:color="auto" w:sz="4" w:space="0"/>
              <w:right w:val="single" w:color="auto" w:sz="4" w:space="0"/>
            </w:tcBorders>
            <w:vAlign w:val="center"/>
          </w:tcPr>
          <w:p w14:paraId="44DEC0EB">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vAlign w:val="center"/>
          </w:tcPr>
          <w:p w14:paraId="309BC2AD">
            <w:pPr>
              <w:jc w:val="both"/>
              <w:rPr>
                <w:rFonts w:eastAsia="仿宋_GB2312"/>
                <w:bCs/>
                <w:sz w:val="24"/>
                <w:szCs w:val="24"/>
              </w:rPr>
            </w:pPr>
            <w:r>
              <w:rPr>
                <w:rFonts w:hint="eastAsia" w:eastAsia="仿宋_GB2312"/>
                <w:bCs/>
                <w:sz w:val="24"/>
                <w:szCs w:val="24"/>
              </w:rPr>
              <w:t>银、铜、钴矿</w:t>
            </w:r>
          </w:p>
        </w:tc>
        <w:tc>
          <w:tcPr>
            <w:tcW w:w="989" w:type="dxa"/>
            <w:tcBorders>
              <w:top w:val="nil"/>
              <w:left w:val="nil"/>
              <w:bottom w:val="single" w:color="auto" w:sz="4" w:space="0"/>
              <w:right w:val="single" w:color="auto" w:sz="4" w:space="0"/>
            </w:tcBorders>
            <w:vAlign w:val="center"/>
          </w:tcPr>
          <w:p w14:paraId="62882F60">
            <w:pPr>
              <w:jc w:val="center"/>
              <w:rPr>
                <w:rFonts w:eastAsia="仿宋_GB2312"/>
                <w:bCs/>
                <w:sz w:val="24"/>
                <w:szCs w:val="24"/>
              </w:rPr>
            </w:pPr>
            <w:r>
              <w:rPr>
                <w:rFonts w:hint="eastAsia" w:eastAsia="仿宋_GB2312"/>
                <w:bCs/>
                <w:sz w:val="24"/>
                <w:szCs w:val="24"/>
              </w:rPr>
              <w:t>4.8万吨/年</w:t>
            </w:r>
          </w:p>
        </w:tc>
        <w:tc>
          <w:tcPr>
            <w:tcW w:w="1272" w:type="dxa"/>
            <w:tcBorders>
              <w:top w:val="nil"/>
              <w:left w:val="nil"/>
              <w:bottom w:val="single" w:color="auto" w:sz="4" w:space="0"/>
              <w:right w:val="single" w:color="auto" w:sz="4" w:space="0"/>
            </w:tcBorders>
            <w:shd w:val="clear" w:color="auto" w:fill="FFFFFF" w:themeFill="background1"/>
            <w:vAlign w:val="center"/>
          </w:tcPr>
          <w:p w14:paraId="1D8E6F7C">
            <w:pPr>
              <w:jc w:val="center"/>
              <w:rPr>
                <w:rFonts w:eastAsia="仿宋_GB2312"/>
                <w:bCs/>
                <w:sz w:val="24"/>
                <w:szCs w:val="24"/>
              </w:rPr>
            </w:pPr>
            <w:r>
              <w:rPr>
                <w:rFonts w:hint="eastAsia" w:eastAsia="仿宋_GB2312"/>
                <w:bCs/>
                <w:sz w:val="24"/>
                <w:szCs w:val="24"/>
              </w:rPr>
              <w:t>停产（未开展安全设施设计）</w:t>
            </w:r>
          </w:p>
        </w:tc>
        <w:tc>
          <w:tcPr>
            <w:tcW w:w="236" w:type="dxa"/>
            <w:vAlign w:val="center"/>
          </w:tcPr>
          <w:p w14:paraId="7C57BA51">
            <w:pPr>
              <w:widowControl/>
              <w:rPr>
                <w:rFonts w:eastAsia="Times New Roman"/>
              </w:rPr>
            </w:pPr>
          </w:p>
        </w:tc>
      </w:tr>
      <w:tr w14:paraId="7610A0CA">
        <w:trPr>
          <w:trHeight w:val="840" w:hRule="atLeast"/>
        </w:trPr>
        <w:tc>
          <w:tcPr>
            <w:tcW w:w="697" w:type="dxa"/>
            <w:tcBorders>
              <w:top w:val="nil"/>
              <w:left w:val="single" w:color="auto" w:sz="4" w:space="0"/>
              <w:bottom w:val="single" w:color="auto" w:sz="4" w:space="0"/>
              <w:right w:val="single" w:color="auto" w:sz="4" w:space="0"/>
            </w:tcBorders>
            <w:vAlign w:val="center"/>
          </w:tcPr>
          <w:p w14:paraId="56759839">
            <w:pPr>
              <w:jc w:val="center"/>
              <w:rPr>
                <w:rFonts w:eastAsia="仿宋_GB2312"/>
                <w:bCs/>
                <w:sz w:val="24"/>
                <w:szCs w:val="24"/>
              </w:rPr>
            </w:pPr>
            <w:r>
              <w:rPr>
                <w:rFonts w:hint="eastAsia" w:eastAsia="仿宋_GB2312"/>
                <w:bCs/>
                <w:sz w:val="24"/>
                <w:szCs w:val="24"/>
              </w:rPr>
              <w:t>22</w:t>
            </w:r>
          </w:p>
        </w:tc>
        <w:tc>
          <w:tcPr>
            <w:tcW w:w="2854" w:type="dxa"/>
            <w:tcBorders>
              <w:top w:val="nil"/>
              <w:left w:val="nil"/>
              <w:bottom w:val="single" w:color="auto" w:sz="4" w:space="0"/>
              <w:right w:val="single" w:color="auto" w:sz="4" w:space="0"/>
            </w:tcBorders>
            <w:vAlign w:val="center"/>
          </w:tcPr>
          <w:p w14:paraId="785D986C">
            <w:pPr>
              <w:jc w:val="both"/>
              <w:rPr>
                <w:rFonts w:eastAsia="仿宋_GB2312"/>
                <w:bCs/>
                <w:sz w:val="24"/>
                <w:szCs w:val="24"/>
              </w:rPr>
            </w:pPr>
            <w:r>
              <w:rPr>
                <w:rFonts w:hint="eastAsia" w:eastAsia="仿宋_GB2312"/>
                <w:bCs/>
                <w:sz w:val="24"/>
                <w:szCs w:val="24"/>
              </w:rPr>
              <w:t>遂昌浙矿两山矿业有限公司浙江省遂昌县湖山乡塘坞里萤石矿</w:t>
            </w:r>
          </w:p>
        </w:tc>
        <w:tc>
          <w:tcPr>
            <w:tcW w:w="935" w:type="dxa"/>
            <w:tcBorders>
              <w:top w:val="nil"/>
              <w:left w:val="nil"/>
              <w:bottom w:val="single" w:color="auto" w:sz="4" w:space="0"/>
              <w:right w:val="single" w:color="auto" w:sz="4" w:space="0"/>
            </w:tcBorders>
            <w:vAlign w:val="center"/>
          </w:tcPr>
          <w:p w14:paraId="39AD5FA5">
            <w:pPr>
              <w:jc w:val="center"/>
              <w:rPr>
                <w:rFonts w:eastAsia="仿宋_GB2312"/>
                <w:bCs/>
                <w:sz w:val="24"/>
                <w:szCs w:val="24"/>
              </w:rPr>
            </w:pPr>
            <w:r>
              <w:rPr>
                <w:rFonts w:hint="eastAsia" w:eastAsia="仿宋_GB2312"/>
                <w:bCs/>
                <w:sz w:val="24"/>
                <w:szCs w:val="24"/>
              </w:rPr>
              <w:t>地下</w:t>
            </w:r>
          </w:p>
        </w:tc>
        <w:tc>
          <w:tcPr>
            <w:tcW w:w="1313" w:type="dxa"/>
            <w:tcBorders>
              <w:top w:val="nil"/>
              <w:left w:val="nil"/>
              <w:bottom w:val="single" w:color="auto" w:sz="4" w:space="0"/>
              <w:right w:val="single" w:color="auto" w:sz="4" w:space="0"/>
            </w:tcBorders>
            <w:vAlign w:val="center"/>
          </w:tcPr>
          <w:p w14:paraId="4B3B12E2">
            <w:pPr>
              <w:jc w:val="center"/>
              <w:rPr>
                <w:rFonts w:eastAsia="仿宋_GB2312"/>
                <w:bCs/>
                <w:sz w:val="24"/>
                <w:szCs w:val="24"/>
              </w:rPr>
            </w:pPr>
            <w:r>
              <w:rPr>
                <w:rFonts w:hint="eastAsia" w:eastAsia="仿宋_GB2312"/>
                <w:bCs/>
                <w:sz w:val="24"/>
                <w:szCs w:val="24"/>
              </w:rPr>
              <w:t>萤石</w:t>
            </w:r>
          </w:p>
        </w:tc>
        <w:tc>
          <w:tcPr>
            <w:tcW w:w="989" w:type="dxa"/>
            <w:tcBorders>
              <w:top w:val="nil"/>
              <w:left w:val="nil"/>
              <w:bottom w:val="single" w:color="auto" w:sz="4" w:space="0"/>
              <w:right w:val="single" w:color="auto" w:sz="4" w:space="0"/>
            </w:tcBorders>
            <w:vAlign w:val="center"/>
          </w:tcPr>
          <w:p w14:paraId="34504F0E">
            <w:pPr>
              <w:jc w:val="center"/>
              <w:rPr>
                <w:rFonts w:eastAsia="仿宋_GB2312"/>
                <w:bCs/>
                <w:sz w:val="24"/>
                <w:szCs w:val="24"/>
              </w:rPr>
            </w:pPr>
            <w:r>
              <w:rPr>
                <w:rFonts w:hint="eastAsia" w:eastAsia="仿宋_GB2312"/>
                <w:bCs/>
                <w:sz w:val="24"/>
                <w:szCs w:val="24"/>
              </w:rPr>
              <w:t>15万吨/年</w:t>
            </w:r>
          </w:p>
        </w:tc>
        <w:tc>
          <w:tcPr>
            <w:tcW w:w="1272" w:type="dxa"/>
            <w:tcBorders>
              <w:top w:val="nil"/>
              <w:left w:val="nil"/>
              <w:bottom w:val="single" w:color="auto" w:sz="4" w:space="0"/>
              <w:right w:val="single" w:color="auto" w:sz="4" w:space="0"/>
            </w:tcBorders>
            <w:vAlign w:val="center"/>
          </w:tcPr>
          <w:p w14:paraId="07F59598">
            <w:pPr>
              <w:jc w:val="center"/>
              <w:rPr>
                <w:rFonts w:eastAsia="仿宋_GB2312"/>
                <w:bCs/>
                <w:sz w:val="24"/>
                <w:szCs w:val="24"/>
              </w:rPr>
            </w:pPr>
            <w:r>
              <w:rPr>
                <w:rFonts w:hint="eastAsia" w:eastAsia="仿宋_GB2312"/>
                <w:bCs/>
                <w:sz w:val="24"/>
                <w:szCs w:val="24"/>
              </w:rPr>
              <w:t>停产（设计报批阶段）</w:t>
            </w:r>
          </w:p>
        </w:tc>
        <w:tc>
          <w:tcPr>
            <w:tcW w:w="236" w:type="dxa"/>
            <w:vAlign w:val="center"/>
          </w:tcPr>
          <w:p w14:paraId="7378A2F6">
            <w:pPr>
              <w:widowControl/>
              <w:rPr>
                <w:rFonts w:eastAsia="Times New Roman"/>
              </w:rPr>
            </w:pPr>
          </w:p>
        </w:tc>
      </w:tr>
      <w:tr w14:paraId="696D34B0">
        <w:trPr>
          <w:trHeight w:val="840" w:hRule="atLeast"/>
        </w:trPr>
        <w:tc>
          <w:tcPr>
            <w:tcW w:w="697" w:type="dxa"/>
            <w:tcBorders>
              <w:top w:val="nil"/>
              <w:left w:val="single" w:color="auto" w:sz="4" w:space="0"/>
              <w:bottom w:val="single" w:color="auto" w:sz="4" w:space="0"/>
              <w:right w:val="single" w:color="auto" w:sz="4" w:space="0"/>
            </w:tcBorders>
            <w:vAlign w:val="center"/>
          </w:tcPr>
          <w:p w14:paraId="76F55519">
            <w:pPr>
              <w:jc w:val="center"/>
              <w:rPr>
                <w:rFonts w:eastAsia="仿宋_GB2312"/>
                <w:bCs/>
                <w:sz w:val="24"/>
                <w:szCs w:val="24"/>
              </w:rPr>
            </w:pPr>
            <w:bookmarkStart w:id="4" w:name="_Hlk216095916"/>
            <w:r>
              <w:rPr>
                <w:rFonts w:hint="eastAsia" w:eastAsia="仿宋_GB2312"/>
                <w:bCs/>
                <w:sz w:val="24"/>
                <w:szCs w:val="24"/>
              </w:rPr>
              <w:t>23</w:t>
            </w:r>
          </w:p>
        </w:tc>
        <w:tc>
          <w:tcPr>
            <w:tcW w:w="2854" w:type="dxa"/>
            <w:tcBorders>
              <w:top w:val="nil"/>
              <w:left w:val="nil"/>
              <w:bottom w:val="single" w:color="auto" w:sz="4" w:space="0"/>
              <w:right w:val="single" w:color="auto" w:sz="4" w:space="0"/>
            </w:tcBorders>
            <w:vAlign w:val="center"/>
          </w:tcPr>
          <w:p w14:paraId="3CCE99B1">
            <w:pPr>
              <w:jc w:val="both"/>
              <w:rPr>
                <w:rFonts w:eastAsia="仿宋_GB2312"/>
                <w:bCs/>
                <w:sz w:val="24"/>
                <w:szCs w:val="24"/>
              </w:rPr>
            </w:pPr>
            <w:r>
              <w:rPr>
                <w:rFonts w:hint="eastAsia" w:eastAsia="仿宋_GB2312"/>
                <w:bCs/>
                <w:sz w:val="24"/>
                <w:szCs w:val="24"/>
              </w:rPr>
              <w:t>浙江经盛新能源有限公司浙江省遂昌县云峰街道下马村建筑用花岗岩矿</w:t>
            </w:r>
          </w:p>
        </w:tc>
        <w:tc>
          <w:tcPr>
            <w:tcW w:w="935" w:type="dxa"/>
            <w:tcBorders>
              <w:top w:val="nil"/>
              <w:left w:val="nil"/>
              <w:bottom w:val="single" w:color="auto" w:sz="4" w:space="0"/>
              <w:right w:val="single" w:color="auto" w:sz="4" w:space="0"/>
            </w:tcBorders>
            <w:vAlign w:val="center"/>
          </w:tcPr>
          <w:p w14:paraId="5CEAEDA5">
            <w:pPr>
              <w:jc w:val="center"/>
              <w:rPr>
                <w:rFonts w:eastAsia="仿宋_GB2312"/>
                <w:bCs/>
                <w:sz w:val="24"/>
                <w:szCs w:val="24"/>
              </w:rPr>
            </w:pPr>
            <w:r>
              <w:rPr>
                <w:rFonts w:hint="eastAsia" w:eastAsia="仿宋_GB2312"/>
                <w:bCs/>
                <w:sz w:val="24"/>
                <w:szCs w:val="24"/>
              </w:rPr>
              <w:t>露天</w:t>
            </w:r>
          </w:p>
        </w:tc>
        <w:tc>
          <w:tcPr>
            <w:tcW w:w="1313" w:type="dxa"/>
            <w:tcBorders>
              <w:top w:val="nil"/>
              <w:left w:val="nil"/>
              <w:bottom w:val="single" w:color="auto" w:sz="4" w:space="0"/>
              <w:right w:val="single" w:color="auto" w:sz="4" w:space="0"/>
            </w:tcBorders>
            <w:vAlign w:val="center"/>
          </w:tcPr>
          <w:p w14:paraId="3BABC4AF">
            <w:pPr>
              <w:jc w:val="center"/>
              <w:rPr>
                <w:rFonts w:eastAsia="仿宋_GB2312"/>
                <w:bCs/>
                <w:sz w:val="24"/>
                <w:szCs w:val="24"/>
              </w:rPr>
            </w:pPr>
            <w:r>
              <w:rPr>
                <w:rFonts w:hint="eastAsia" w:eastAsia="仿宋_GB2312"/>
                <w:bCs/>
                <w:sz w:val="24"/>
                <w:szCs w:val="24"/>
              </w:rPr>
              <w:t>花岗岩</w:t>
            </w:r>
          </w:p>
        </w:tc>
        <w:tc>
          <w:tcPr>
            <w:tcW w:w="989" w:type="dxa"/>
            <w:tcBorders>
              <w:top w:val="nil"/>
              <w:left w:val="nil"/>
              <w:bottom w:val="single" w:color="auto" w:sz="4" w:space="0"/>
              <w:right w:val="single" w:color="auto" w:sz="4" w:space="0"/>
            </w:tcBorders>
            <w:vAlign w:val="center"/>
          </w:tcPr>
          <w:p w14:paraId="47A53D13">
            <w:pPr>
              <w:jc w:val="center"/>
              <w:rPr>
                <w:rFonts w:eastAsia="仿宋_GB2312"/>
                <w:bCs/>
                <w:sz w:val="24"/>
                <w:szCs w:val="24"/>
              </w:rPr>
            </w:pPr>
            <w:r>
              <w:rPr>
                <w:rFonts w:hint="eastAsia" w:eastAsia="仿宋_GB2312"/>
                <w:bCs/>
                <w:sz w:val="24"/>
                <w:szCs w:val="24"/>
              </w:rPr>
              <w:t>950万吨/年</w:t>
            </w:r>
          </w:p>
        </w:tc>
        <w:tc>
          <w:tcPr>
            <w:tcW w:w="1272" w:type="dxa"/>
            <w:tcBorders>
              <w:top w:val="nil"/>
              <w:left w:val="nil"/>
              <w:bottom w:val="single" w:color="auto" w:sz="4" w:space="0"/>
              <w:right w:val="single" w:color="auto" w:sz="4" w:space="0"/>
            </w:tcBorders>
            <w:vAlign w:val="center"/>
          </w:tcPr>
          <w:p w14:paraId="2924D107">
            <w:pPr>
              <w:jc w:val="center"/>
              <w:rPr>
                <w:rFonts w:eastAsia="仿宋_GB2312"/>
                <w:bCs/>
                <w:sz w:val="24"/>
                <w:szCs w:val="24"/>
              </w:rPr>
            </w:pPr>
            <w:r>
              <w:rPr>
                <w:rFonts w:hint="eastAsia" w:eastAsia="仿宋_GB2312"/>
                <w:bCs/>
                <w:sz w:val="24"/>
                <w:szCs w:val="24"/>
              </w:rPr>
              <w:t>停产（安全设施设计阶段）</w:t>
            </w:r>
          </w:p>
        </w:tc>
        <w:tc>
          <w:tcPr>
            <w:tcW w:w="236" w:type="dxa"/>
            <w:vAlign w:val="center"/>
          </w:tcPr>
          <w:p w14:paraId="0473CC31">
            <w:pPr>
              <w:widowControl/>
              <w:rPr>
                <w:rFonts w:eastAsia="Times New Roman"/>
              </w:rPr>
            </w:pPr>
          </w:p>
        </w:tc>
      </w:tr>
      <w:bookmarkEnd w:id="4"/>
    </w:tbl>
    <w:p w14:paraId="1D8B2951">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5" w:name="_Toc218089285"/>
      <w:r>
        <w:rPr>
          <w:rFonts w:ascii="Times New Roman" w:hAnsi="Times New Roman" w:eastAsia="楷体_GB2312" w:cs="Times New Roman"/>
          <w:b/>
          <w:bCs/>
          <w:color w:val="auto"/>
          <w:kern w:val="2"/>
          <w:sz w:val="32"/>
          <w:szCs w:val="32"/>
        </w:rPr>
        <w:t>（一）取得的成效</w:t>
      </w:r>
      <w:bookmarkEnd w:id="5"/>
    </w:p>
    <w:p w14:paraId="7EBCD90C">
      <w:pPr>
        <w:spacing w:line="580" w:lineRule="exact"/>
        <w:ind w:firstLine="640" w:firstLineChars="200"/>
        <w:jc w:val="both"/>
        <w:rPr>
          <w:rFonts w:hint="eastAsia" w:ascii="仿宋_GB2312" w:hAnsi="仿宋_GB2312" w:eastAsia="仿宋_GB2312" w:cs="仿宋_GB2312"/>
          <w:bCs/>
          <w:sz w:val="32"/>
          <w:szCs w:val="32"/>
        </w:rPr>
      </w:pPr>
      <w:r>
        <w:rPr>
          <w:rFonts w:ascii="仿宋_GB2312" w:hAnsi="仿宋_GB2312" w:eastAsia="仿宋_GB2312" w:cs="仿宋_GB2312"/>
          <w:bCs/>
          <w:sz w:val="32"/>
          <w:szCs w:val="32"/>
        </w:rPr>
        <w:t>“十四五”期间，</w:t>
      </w:r>
      <w:r>
        <w:rPr>
          <w:rFonts w:hint="eastAsia" w:ascii="仿宋_GB2312" w:hAnsi="仿宋_GB2312" w:eastAsia="仿宋_GB2312" w:cs="仿宋_GB2312"/>
          <w:bCs/>
          <w:sz w:val="32"/>
          <w:szCs w:val="32"/>
        </w:rPr>
        <w:t>全</w:t>
      </w:r>
      <w:r>
        <w:rPr>
          <w:rFonts w:ascii="仿宋_GB2312" w:hAnsi="仿宋_GB2312" w:eastAsia="仿宋_GB2312" w:cs="仿宋_GB2312"/>
          <w:bCs/>
          <w:sz w:val="32"/>
          <w:szCs w:val="32"/>
        </w:rPr>
        <w:t>县</w:t>
      </w:r>
      <w:r>
        <w:rPr>
          <w:rFonts w:hint="eastAsia" w:ascii="仿宋_GB2312" w:hAnsi="仿宋_GB2312" w:eastAsia="仿宋_GB2312" w:cs="仿宋_GB2312"/>
          <w:bCs/>
          <w:sz w:val="32"/>
          <w:szCs w:val="32"/>
        </w:rPr>
        <w:t>上下</w:t>
      </w:r>
      <w:r>
        <w:rPr>
          <w:rFonts w:ascii="仿宋_GB2312" w:hAnsi="仿宋_GB2312" w:eastAsia="仿宋_GB2312" w:cs="仿宋_GB2312"/>
          <w:bCs/>
          <w:sz w:val="32"/>
          <w:szCs w:val="32"/>
        </w:rPr>
        <w:t>认真学习贯彻习近平总书记关于安全生产重要论述，深入贯彻落实党中央、国务院决策部署，各有关部门和矿山企业</w:t>
      </w:r>
      <w:r>
        <w:rPr>
          <w:rFonts w:hint="eastAsia" w:ascii="仿宋_GB2312" w:hAnsi="仿宋_GB2312" w:eastAsia="仿宋_GB2312" w:cs="仿宋_GB2312"/>
          <w:bCs/>
          <w:sz w:val="32"/>
          <w:szCs w:val="32"/>
        </w:rPr>
        <w:t>积极</w:t>
      </w:r>
      <w:r>
        <w:rPr>
          <w:rFonts w:ascii="仿宋_GB2312" w:hAnsi="仿宋_GB2312" w:eastAsia="仿宋_GB2312" w:cs="仿宋_GB2312"/>
          <w:bCs/>
          <w:sz w:val="32"/>
          <w:szCs w:val="32"/>
        </w:rPr>
        <w:t>落实国家和</w:t>
      </w:r>
      <w:r>
        <w:rPr>
          <w:rFonts w:hint="eastAsia" w:ascii="仿宋_GB2312" w:hAnsi="仿宋_GB2312" w:eastAsia="仿宋_GB2312" w:cs="仿宋_GB2312"/>
          <w:bCs/>
          <w:sz w:val="32"/>
          <w:szCs w:val="32"/>
        </w:rPr>
        <w:t>省市县</w:t>
      </w:r>
      <w:r>
        <w:rPr>
          <w:rFonts w:ascii="仿宋_GB2312" w:hAnsi="仿宋_GB2312" w:eastAsia="仿宋_GB2312" w:cs="仿宋_GB2312"/>
          <w:bCs/>
          <w:sz w:val="32"/>
          <w:szCs w:val="32"/>
        </w:rPr>
        <w:t>矿山安全监管要求，始终坚持安全发展理念和安全生产方针，牢固树立发展决不能以牺牲安全为代价的红线意识，持续推进落实安全生产责任制、淘汰落后产能、重大灾害治理、科技强安、智能化矿山建设等各项工作，</w:t>
      </w:r>
      <w:r>
        <w:rPr>
          <w:rFonts w:hint="eastAsia" w:ascii="仿宋_GB2312" w:hAnsi="仿宋_GB2312" w:eastAsia="仿宋_GB2312" w:cs="仿宋_GB2312"/>
          <w:bCs/>
          <w:sz w:val="32"/>
          <w:szCs w:val="32"/>
        </w:rPr>
        <w:t>全县</w:t>
      </w:r>
      <w:r>
        <w:rPr>
          <w:rFonts w:ascii="仿宋_GB2312" w:hAnsi="仿宋_GB2312" w:eastAsia="仿宋_GB2312" w:cs="仿宋_GB2312"/>
          <w:bCs/>
          <w:sz w:val="32"/>
          <w:szCs w:val="32"/>
        </w:rPr>
        <w:t>矿山安全生产工作取得明显成效。</w:t>
      </w:r>
    </w:p>
    <w:p w14:paraId="2DDF8C49">
      <w:pPr>
        <w:spacing w:line="58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安全生产形势持续稳定向好。全县</w:t>
      </w:r>
      <w:r>
        <w:rPr>
          <w:rFonts w:hint="eastAsia" w:ascii="仿宋_GB2312" w:hAnsi="仿宋_GB2312" w:eastAsia="仿宋_GB2312" w:cs="仿宋_GB2312"/>
          <w:bCs/>
          <w:sz w:val="32"/>
          <w:szCs w:val="32"/>
        </w:rPr>
        <w:t>矿山生产安全事故起数、死亡人数出现明显下降。与2021年相比，2025年矿山事故起数减少50%，未发生较大及以上亡人事故，矿山安全生产形势得到明显改善。</w:t>
      </w:r>
    </w:p>
    <w:p w14:paraId="741587C9">
      <w:pPr>
        <w:spacing w:line="58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矿山安全责任体系逐步健全。</w:t>
      </w:r>
      <w:r>
        <w:rPr>
          <w:rFonts w:ascii="仿宋_GB2312" w:hAnsi="仿宋_GB2312" w:eastAsia="仿宋_GB2312" w:cs="仿宋_GB2312"/>
          <w:bCs/>
          <w:sz w:val="32"/>
          <w:szCs w:val="32"/>
        </w:rPr>
        <w:t>建立</w:t>
      </w:r>
      <w:r>
        <w:rPr>
          <w:rFonts w:hint="eastAsia" w:ascii="仿宋_GB2312" w:hAnsi="仿宋_GB2312" w:eastAsia="仿宋_GB2312" w:cs="仿宋_GB2312"/>
          <w:bCs/>
          <w:sz w:val="32"/>
          <w:szCs w:val="32"/>
        </w:rPr>
        <w:t>《</w:t>
      </w:r>
      <w:bookmarkStart w:id="6" w:name="OLE_LINK11"/>
      <w:r>
        <w:rPr>
          <w:rFonts w:hint="eastAsia" w:ascii="仿宋_GB2312" w:hAnsi="仿宋_GB2312" w:eastAsia="仿宋_GB2312" w:cs="仿宋_GB2312"/>
          <w:bCs/>
          <w:sz w:val="32"/>
          <w:szCs w:val="32"/>
        </w:rPr>
        <w:t>遂昌县</w:t>
      </w:r>
      <w:r>
        <w:rPr>
          <w:rFonts w:hint="eastAsia" w:ascii="仿宋_GB2312" w:hAnsi="仿宋_GB2312" w:eastAsia="仿宋_GB2312" w:cs="仿宋_GB2312"/>
          <w:sz w:val="32"/>
          <w:szCs w:val="32"/>
        </w:rPr>
        <w:t>非煤地下矿山及尾矿库政府领导安全生产包保责任制度</w:t>
      </w:r>
      <w:bookmarkEnd w:id="6"/>
      <w:r>
        <w:rPr>
          <w:rFonts w:hint="eastAsia" w:ascii="仿宋_GB2312" w:hAnsi="仿宋_GB2312" w:eastAsia="仿宋_GB2312" w:cs="仿宋_GB2312"/>
          <w:bCs/>
          <w:sz w:val="32"/>
          <w:szCs w:val="32"/>
        </w:rPr>
        <w:t>》</w:t>
      </w:r>
      <w:r>
        <w:rPr>
          <w:rFonts w:ascii="仿宋_GB2312" w:hAnsi="仿宋_GB2312" w:eastAsia="仿宋_GB2312" w:cs="仿宋_GB2312"/>
          <w:bCs/>
          <w:sz w:val="32"/>
          <w:szCs w:val="32"/>
        </w:rPr>
        <w:t>，明确</w:t>
      </w:r>
      <w:r>
        <w:rPr>
          <w:rFonts w:hint="eastAsia" w:ascii="仿宋_GB2312" w:hAnsi="仿宋_GB2312" w:eastAsia="仿宋_GB2312" w:cs="仿宋_GB2312"/>
          <w:bCs/>
          <w:sz w:val="32"/>
          <w:szCs w:val="32"/>
        </w:rPr>
        <w:t>县级、乡镇、监管部门和矿山企业</w:t>
      </w:r>
      <w:r>
        <w:rPr>
          <w:rFonts w:ascii="仿宋_GB2312" w:hAnsi="仿宋_GB2312" w:eastAsia="仿宋_GB2312" w:cs="仿宋_GB2312"/>
          <w:bCs/>
          <w:sz w:val="32"/>
          <w:szCs w:val="32"/>
        </w:rPr>
        <w:t>包保</w:t>
      </w:r>
      <w:r>
        <w:rPr>
          <w:rFonts w:hint="eastAsia" w:ascii="仿宋_GB2312" w:hAnsi="仿宋_GB2312" w:eastAsia="仿宋_GB2312" w:cs="仿宋_GB2312"/>
          <w:bCs/>
          <w:sz w:val="32"/>
          <w:szCs w:val="32"/>
        </w:rPr>
        <w:t>责任</w:t>
      </w:r>
      <w:r>
        <w:rPr>
          <w:rFonts w:ascii="仿宋_GB2312" w:hAnsi="仿宋_GB2312" w:eastAsia="仿宋_GB2312" w:cs="仿宋_GB2312"/>
          <w:bCs/>
          <w:sz w:val="32"/>
          <w:szCs w:val="32"/>
        </w:rPr>
        <w:t>人对矿山安全的监督、指导与隐患督促整改职责，持续深化“管行业必须管安全、管业务必须管安全、管生产经营必须管安全”原则，将矿山建设、开采、运输、设备维护等全流程环节及应急管理、教育培训等相关责任，进一步细化落实到行业主管部门、属地政府及企业各岗位，推动形成“层层有责任、人人抓落实”的矿山安全责任闭环。</w:t>
      </w:r>
    </w:p>
    <w:p w14:paraId="79071DDB">
      <w:pPr>
        <w:spacing w:line="580" w:lineRule="exact"/>
        <w:ind w:firstLine="643"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矿山防范重大风险能力明显提高。</w:t>
      </w:r>
      <w:r>
        <w:rPr>
          <w:rFonts w:hint="eastAsia" w:ascii="仿宋_GB2312" w:hAnsi="仿宋_GB2312" w:eastAsia="仿宋_GB2312" w:cs="仿宋_GB2312"/>
          <w:bCs/>
          <w:sz w:val="32"/>
          <w:szCs w:val="32"/>
        </w:rPr>
        <w:t>推动全县矿山企业建立重大事故隐患清零自查自改机制，</w:t>
      </w:r>
      <w:r>
        <w:rPr>
          <w:rFonts w:ascii="仿宋_GB2312" w:hAnsi="仿宋_GB2312" w:eastAsia="仿宋_GB2312" w:cs="仿宋_GB2312"/>
          <w:bCs/>
          <w:sz w:val="32"/>
          <w:szCs w:val="32"/>
        </w:rPr>
        <w:t>并逐级落实从主要负责人到从业人员的排查治理责任制</w:t>
      </w:r>
      <w:r>
        <w:rPr>
          <w:rFonts w:hint="eastAsia" w:ascii="仿宋_GB2312" w:hAnsi="仿宋_GB2312" w:eastAsia="仿宋_GB2312" w:cs="仿宋_GB2312"/>
          <w:bCs/>
          <w:sz w:val="32"/>
          <w:szCs w:val="32"/>
        </w:rPr>
        <w:t>。积极购买矿山安全生产社会化服务，推动外部力量参与矿山安全工作，有效促进矿山重大事故隐患判定标准的宣贯和执行。规范矿山企业监管执法，持续保持矿山安全监管执法高压态势，倒逼企业落实主体责任，</w:t>
      </w:r>
      <w:r>
        <w:rPr>
          <w:rFonts w:ascii="仿宋_GB2312" w:hAnsi="仿宋_GB2312" w:eastAsia="仿宋_GB2312" w:cs="仿宋_GB2312"/>
          <w:bCs/>
          <w:sz w:val="32"/>
          <w:szCs w:val="32"/>
        </w:rPr>
        <w:t>矿山防范重大风险能力明显提高。</w:t>
      </w:r>
    </w:p>
    <w:p w14:paraId="211153DF">
      <w:pPr>
        <w:spacing w:line="58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矿山数字化建设取得进展。</w:t>
      </w:r>
      <w:r>
        <w:rPr>
          <w:rFonts w:hint="eastAsia" w:ascii="仿宋_GB2312" w:hAnsi="仿宋_GB2312" w:eastAsia="仿宋_GB2312" w:cs="仿宋_GB2312"/>
          <w:bCs/>
          <w:sz w:val="32"/>
          <w:szCs w:val="32"/>
        </w:rPr>
        <w:t>全县矿山企业认真落实</w:t>
      </w:r>
      <w:r>
        <w:rPr>
          <w:rFonts w:hint="eastAsia" w:ascii="仿宋_GB2312" w:hAnsi="仿宋_GB2312" w:eastAsia="仿宋_GB2312" w:cs="仿宋_GB2312"/>
          <w:sz w:val="32"/>
          <w:szCs w:val="32"/>
        </w:rPr>
        <w:t>《浙江省矿山安全数字化基础部分建设指南》，积极开展安全生产数字化建设，全县在产在建的11家地下矿山、4家露天矿山、3家尾矿库全部实现数字化平台基础部分建设，构建了矿山企业安全生产基本信息库、风险分级管控和隐患排查治理系统、安全监测监控系统、安全生产调度和应急信号系统等“一屏同管”的格局，弥补了以往矿山企业在安全数字化方面的空缺，使矿山安全生产作业及风险预警具象化、可视化和实时化，推动矿山安全发展迈向新台阶。</w:t>
      </w:r>
    </w:p>
    <w:p w14:paraId="30CB487C">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7" w:name="_Toc218089286"/>
      <w:r>
        <w:rPr>
          <w:rFonts w:ascii="Times New Roman" w:hAnsi="Times New Roman" w:eastAsia="楷体_GB2312" w:cs="Times New Roman"/>
          <w:b/>
          <w:bCs/>
          <w:color w:val="auto"/>
          <w:kern w:val="2"/>
          <w:sz w:val="32"/>
          <w:szCs w:val="32"/>
        </w:rPr>
        <w:t>（二）面临的挑战</w:t>
      </w:r>
      <w:bookmarkEnd w:id="7"/>
    </w:p>
    <w:p w14:paraId="01A898EA">
      <w:pPr>
        <w:spacing w:line="580" w:lineRule="exact"/>
        <w:ind w:firstLine="643" w:firstLineChars="200"/>
        <w:jc w:val="both"/>
        <w:rPr>
          <w:rFonts w:eastAsia="仿宋_GB2312"/>
          <w:sz w:val="32"/>
          <w:szCs w:val="32"/>
        </w:rPr>
      </w:pPr>
      <w:bookmarkStart w:id="8" w:name="OLE_LINK2"/>
      <w:bookmarkStart w:id="9" w:name="OLE_LINK3"/>
      <w:bookmarkStart w:id="10" w:name="OLE_LINK1"/>
      <w:r>
        <w:rPr>
          <w:rFonts w:eastAsia="仿宋_GB2312"/>
          <w:b/>
          <w:bCs/>
          <w:sz w:val="32"/>
          <w:szCs w:val="32"/>
        </w:rPr>
        <w:t>经济发展对矿山安全提出更大挑战</w:t>
      </w:r>
      <w:bookmarkEnd w:id="8"/>
      <w:r>
        <w:rPr>
          <w:rFonts w:eastAsia="仿宋_GB2312"/>
          <w:b/>
          <w:bCs/>
          <w:sz w:val="32"/>
          <w:szCs w:val="32"/>
        </w:rPr>
        <w:t>。</w:t>
      </w:r>
      <w:bookmarkEnd w:id="9"/>
      <w:r>
        <w:rPr>
          <w:rFonts w:eastAsia="仿宋_GB2312"/>
          <w:sz w:val="32"/>
          <w:szCs w:val="32"/>
        </w:rPr>
        <w:t>随着长三角地区新能源、新材料产业的快速崛起，萤石作为氟化工产业链核心原料的战略价值持续攀升，直接带动遂昌县萤石矿行业进入发展“快车道”，安全保障能力与产业发展速度之间的适配压力持续凸显</w:t>
      </w:r>
      <w:r>
        <w:rPr>
          <w:rFonts w:hint="eastAsia" w:eastAsia="仿宋_GB2312"/>
          <w:sz w:val="32"/>
          <w:szCs w:val="32"/>
        </w:rPr>
        <w:t>，</w:t>
      </w:r>
      <w:r>
        <w:rPr>
          <w:rFonts w:eastAsia="仿宋_GB2312"/>
          <w:sz w:val="32"/>
          <w:szCs w:val="32"/>
        </w:rPr>
        <w:t>资源开发与安全投入失衡。部分中小型矿山为追市场红利“重产能、轻安全”，关键安全设施投入不足，老旧矿点沿用传统工艺，机械化、智能化改造滞后，面对深部开采的地压、涌水等隐患，预警处置能力弱</w:t>
      </w:r>
      <w:r>
        <w:rPr>
          <w:rFonts w:hint="eastAsia" w:eastAsia="仿宋_GB2312"/>
          <w:sz w:val="32"/>
          <w:szCs w:val="32"/>
        </w:rPr>
        <w:t>，矿山安全高质量发展将面临巨大挑战</w:t>
      </w:r>
      <w:r>
        <w:rPr>
          <w:rFonts w:eastAsia="仿宋_GB2312"/>
          <w:sz w:val="32"/>
          <w:szCs w:val="32"/>
        </w:rPr>
        <w:t>。</w:t>
      </w:r>
    </w:p>
    <w:bookmarkEnd w:id="10"/>
    <w:p w14:paraId="3BFEF0A5">
      <w:pPr>
        <w:spacing w:line="580" w:lineRule="exact"/>
        <w:ind w:firstLine="643" w:firstLineChars="200"/>
        <w:jc w:val="both"/>
        <w:rPr>
          <w:rFonts w:eastAsia="仿宋_GB2312"/>
          <w:sz w:val="32"/>
          <w:szCs w:val="32"/>
        </w:rPr>
      </w:pPr>
      <w:r>
        <w:rPr>
          <w:rFonts w:eastAsia="仿宋_GB2312"/>
          <w:b/>
          <w:bCs/>
          <w:sz w:val="32"/>
          <w:szCs w:val="32"/>
        </w:rPr>
        <w:t>矿山安全基础总体薄弱。</w:t>
      </w:r>
      <w:r>
        <w:rPr>
          <w:rFonts w:hint="eastAsia" w:eastAsia="仿宋_GB2312"/>
          <w:sz w:val="32"/>
          <w:szCs w:val="32"/>
        </w:rPr>
        <w:t>2021年，浙江省应急管理厅根据《国家矿山安全监察局关于印发加强非煤矿山重点地区安全生产工作方案的通知》（矿安〔2021〕123号）文件的有关要求，结合遂昌县矿山安全生产实际，确定遂昌县为浙江省非煤矿山安全生产重点县。矿山企业安全发展理念树得不牢，企业主体责任落实不到位，事故隐患反复查、反复改、反复出现，事故教训吸取不深刻。专业技术人才短缺，“五职矿长”和“五科技术人员”虽按要求配备，但存在能力不足的情形，从业人员老龄化严重，专业素质和安全意识有待提升。</w:t>
      </w:r>
    </w:p>
    <w:p w14:paraId="3E62C727">
      <w:pPr>
        <w:spacing w:line="580" w:lineRule="exact"/>
        <w:ind w:firstLine="643" w:firstLineChars="200"/>
        <w:jc w:val="both"/>
        <w:rPr>
          <w:rFonts w:eastAsia="仿宋_GB2312"/>
          <w:sz w:val="32"/>
          <w:szCs w:val="32"/>
        </w:rPr>
      </w:pPr>
      <w:r>
        <w:rPr>
          <w:rFonts w:eastAsia="仿宋_GB2312"/>
          <w:b/>
          <w:bCs/>
          <w:sz w:val="32"/>
          <w:szCs w:val="32"/>
        </w:rPr>
        <w:t>矿山机械化智能化水平亟待提升。</w:t>
      </w:r>
      <w:r>
        <w:rPr>
          <w:rFonts w:eastAsia="仿宋_GB2312"/>
          <w:sz w:val="32"/>
          <w:szCs w:val="32"/>
        </w:rPr>
        <w:t>“十四五”期间</w:t>
      </w:r>
      <w:r>
        <w:rPr>
          <w:rFonts w:hint="eastAsia" w:eastAsia="仿宋_GB2312"/>
          <w:sz w:val="32"/>
          <w:szCs w:val="32"/>
        </w:rPr>
        <w:t>全县所有地下矿山已实现机械化铲装和运输，但多数矿山采场作业高度、巷道高度未能满足机械化撬毛、机械化凿岩设备的尺寸要求，仅有1家地下矿山购买了撬毛台车，大部分</w:t>
      </w:r>
      <w:r>
        <w:rPr>
          <w:rFonts w:eastAsia="仿宋_GB2312"/>
          <w:sz w:val="32"/>
          <w:szCs w:val="32"/>
        </w:rPr>
        <w:t>地下矿山</w:t>
      </w:r>
      <w:r>
        <w:rPr>
          <w:rFonts w:hint="eastAsia" w:eastAsia="仿宋_GB2312"/>
          <w:sz w:val="32"/>
          <w:szCs w:val="32"/>
        </w:rPr>
        <w:t>仍然</w:t>
      </w:r>
      <w:r>
        <w:rPr>
          <w:rFonts w:eastAsia="仿宋_GB2312"/>
          <w:sz w:val="32"/>
          <w:szCs w:val="32"/>
        </w:rPr>
        <w:t>采用人工撬毛、</w:t>
      </w:r>
      <w:r>
        <w:rPr>
          <w:rFonts w:hint="eastAsia" w:eastAsia="仿宋_GB2312"/>
          <w:sz w:val="32"/>
          <w:szCs w:val="32"/>
        </w:rPr>
        <w:t>人工凿岩</w:t>
      </w:r>
      <w:r>
        <w:rPr>
          <w:rFonts w:eastAsia="仿宋_GB2312"/>
          <w:sz w:val="32"/>
          <w:szCs w:val="32"/>
        </w:rPr>
        <w:t>等工艺，</w:t>
      </w:r>
      <w:r>
        <w:rPr>
          <w:rFonts w:hint="eastAsia" w:eastAsia="仿宋_GB2312"/>
          <w:sz w:val="32"/>
          <w:szCs w:val="32"/>
        </w:rPr>
        <w:t>撬毛台车、</w:t>
      </w:r>
      <w:r>
        <w:rPr>
          <w:rFonts w:eastAsia="仿宋_GB2312"/>
          <w:sz w:val="32"/>
          <w:szCs w:val="32"/>
        </w:rPr>
        <w:t>凿岩台车、天井钻机等现代化装备普及率不足</w:t>
      </w:r>
      <w:r>
        <w:rPr>
          <w:rFonts w:hint="eastAsia" w:eastAsia="仿宋_GB2312"/>
          <w:sz w:val="32"/>
          <w:szCs w:val="32"/>
        </w:rPr>
        <w:t>1</w:t>
      </w:r>
      <w:r>
        <w:rPr>
          <w:rFonts w:eastAsia="仿宋_GB2312"/>
          <w:sz w:val="32"/>
          <w:szCs w:val="32"/>
        </w:rPr>
        <w:t>0%</w:t>
      </w:r>
      <w:r>
        <w:rPr>
          <w:rFonts w:hint="eastAsia" w:eastAsia="仿宋_GB2312"/>
          <w:sz w:val="32"/>
          <w:szCs w:val="32"/>
        </w:rPr>
        <w:t>；</w:t>
      </w:r>
      <w:r>
        <w:rPr>
          <w:rFonts w:eastAsia="仿宋_GB2312"/>
          <w:sz w:val="32"/>
          <w:szCs w:val="32"/>
        </w:rPr>
        <w:t>通风、排水、顶板监测等关键系统仍依赖人工巡检，难以实现实时预警和智能管控，增加了安全事故风险。</w:t>
      </w:r>
      <w:r>
        <w:rPr>
          <w:rFonts w:hint="eastAsia" w:eastAsia="仿宋_GB2312"/>
          <w:sz w:val="32"/>
          <w:szCs w:val="32"/>
        </w:rPr>
        <w:t>矿山安全科技装备配备应用不足，机械化和自动化水平仍存在较大提升空间。</w:t>
      </w:r>
    </w:p>
    <w:p w14:paraId="6E7F06F8">
      <w:pPr>
        <w:spacing w:line="580" w:lineRule="exact"/>
        <w:ind w:firstLine="643" w:firstLineChars="200"/>
        <w:jc w:val="both"/>
        <w:rPr>
          <w:rFonts w:eastAsia="仿宋_GB2312"/>
          <w:b/>
          <w:bCs/>
          <w:sz w:val="32"/>
          <w:szCs w:val="32"/>
        </w:rPr>
      </w:pPr>
      <w:r>
        <w:rPr>
          <w:rFonts w:hint="eastAsia" w:eastAsia="仿宋_GB2312"/>
          <w:b/>
          <w:bCs/>
          <w:sz w:val="32"/>
          <w:szCs w:val="32"/>
        </w:rPr>
        <w:t>自然灾害对矿山安全影响加大。</w:t>
      </w:r>
      <w:r>
        <w:rPr>
          <w:rFonts w:eastAsia="仿宋_GB2312"/>
          <w:sz w:val="32"/>
          <w:szCs w:val="32"/>
        </w:rPr>
        <w:t>全球气候变化加剧，对非煤矿山安全生产的威胁与日俱增。极端降水、持续性暴雨等气候事件频发，易导致地表水体倒灌、井下涌水量突增，加剧突水、淹井风险，同时雨水渗透会削弱</w:t>
      </w:r>
      <w:r>
        <w:rPr>
          <w:rFonts w:hint="eastAsia" w:eastAsia="仿宋_GB2312"/>
          <w:sz w:val="32"/>
          <w:szCs w:val="32"/>
        </w:rPr>
        <w:t>露天矿山</w:t>
      </w:r>
      <w:r>
        <w:rPr>
          <w:rFonts w:eastAsia="仿宋_GB2312"/>
          <w:sz w:val="32"/>
          <w:szCs w:val="32"/>
        </w:rPr>
        <w:t>边坡岩体稳定性，诱发</w:t>
      </w:r>
      <w:r>
        <w:rPr>
          <w:rFonts w:hint="eastAsia" w:eastAsia="仿宋_GB2312"/>
          <w:sz w:val="32"/>
          <w:szCs w:val="32"/>
        </w:rPr>
        <w:t>边坡</w:t>
      </w:r>
      <w:r>
        <w:rPr>
          <w:rFonts w:eastAsia="仿宋_GB2312"/>
          <w:sz w:val="32"/>
          <w:szCs w:val="32"/>
        </w:rPr>
        <w:t>坍塌；强降雨易引发露天矿山及尾矿库边坡滑坡、泥石流</w:t>
      </w:r>
      <w:r>
        <w:rPr>
          <w:rFonts w:hint="eastAsia" w:eastAsia="仿宋_GB2312"/>
          <w:sz w:val="32"/>
          <w:szCs w:val="32"/>
        </w:rPr>
        <w:t>、</w:t>
      </w:r>
      <w:r>
        <w:rPr>
          <w:rFonts w:eastAsia="仿宋_GB2312"/>
          <w:sz w:val="32"/>
          <w:szCs w:val="32"/>
        </w:rPr>
        <w:t>水位超警戒线、坝体渗漏甚至溃坝的重大风险，严重威胁下游区域安全</w:t>
      </w:r>
      <w:r>
        <w:rPr>
          <w:rFonts w:hint="eastAsia" w:eastAsia="仿宋_GB2312"/>
          <w:sz w:val="32"/>
          <w:szCs w:val="32"/>
        </w:rPr>
        <w:t>；</w:t>
      </w:r>
      <w:r>
        <w:rPr>
          <w:rFonts w:eastAsia="仿宋_GB2312"/>
          <w:sz w:val="32"/>
          <w:szCs w:val="32"/>
        </w:rPr>
        <w:t>高温环境会降低井下作业人员体力与注意力，增加中暑、机械故障引发事故的概率</w:t>
      </w:r>
      <w:r>
        <w:rPr>
          <w:rFonts w:hint="eastAsia" w:eastAsia="仿宋_GB2312"/>
          <w:sz w:val="32"/>
          <w:szCs w:val="32"/>
        </w:rPr>
        <w:t>；</w:t>
      </w:r>
      <w:r>
        <w:rPr>
          <w:rFonts w:eastAsia="仿宋_GB2312"/>
          <w:sz w:val="32"/>
          <w:szCs w:val="32"/>
        </w:rPr>
        <w:t>干旱可能导致矿山应急水源不足，影响火灾、透水等事故的应急处置效率。</w:t>
      </w:r>
    </w:p>
    <w:p w14:paraId="1A3B5633">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11" w:name="_Toc218089287"/>
      <w:r>
        <w:rPr>
          <w:rFonts w:ascii="Times New Roman" w:hAnsi="Times New Roman" w:eastAsia="楷体_GB2312" w:cs="Times New Roman"/>
          <w:b/>
          <w:bCs/>
          <w:color w:val="auto"/>
          <w:kern w:val="2"/>
          <w:sz w:val="32"/>
          <w:szCs w:val="32"/>
        </w:rPr>
        <w:t>（三）发展的机遇</w:t>
      </w:r>
      <w:bookmarkEnd w:id="11"/>
    </w:p>
    <w:p w14:paraId="7166B0F9">
      <w:pPr>
        <w:spacing w:line="580" w:lineRule="exact"/>
        <w:ind w:firstLine="643" w:firstLineChars="200"/>
        <w:jc w:val="both"/>
        <w:rPr>
          <w:rFonts w:eastAsia="仿宋_GB2312"/>
          <w:sz w:val="32"/>
          <w:szCs w:val="32"/>
        </w:rPr>
      </w:pPr>
      <w:r>
        <w:rPr>
          <w:rFonts w:hint="eastAsia" w:eastAsia="仿宋_GB2312"/>
          <w:b/>
          <w:bCs/>
          <w:sz w:val="32"/>
          <w:szCs w:val="32"/>
        </w:rPr>
        <w:t>市场迅速扩张带来重大利好。</w:t>
      </w:r>
      <w:r>
        <w:rPr>
          <w:rFonts w:hint="eastAsia" w:eastAsia="仿宋_GB2312"/>
          <w:sz w:val="32"/>
          <w:szCs w:val="32"/>
        </w:rPr>
        <w:t>当前，</w:t>
      </w:r>
      <w:r>
        <w:rPr>
          <w:rFonts w:eastAsia="仿宋_GB2312"/>
          <w:sz w:val="32"/>
          <w:szCs w:val="32"/>
        </w:rPr>
        <w:t>全球萤石资源需求格局呈现“供需趋紧、结构性分化与资源竞争加剧”的特点，传统领域占比收缩，新能源、半导体等新兴领域需求激增；萤石资源需求呈现“传统工业支撑+新兴领域爆发”的双重特点，氢氟酸、冶金等传统领域仍占主导，新能源及半导体产业快速崛起，拉动高纯度萤石需求激增</w:t>
      </w:r>
      <w:r>
        <w:rPr>
          <w:rFonts w:hint="eastAsia" w:eastAsia="仿宋_GB2312"/>
          <w:sz w:val="32"/>
          <w:szCs w:val="32"/>
        </w:rPr>
        <w:t>，市场的发展为以萤石矿为主的矿山产业发展注入强劲动力，</w:t>
      </w:r>
      <w:r>
        <w:rPr>
          <w:rFonts w:eastAsia="仿宋_GB2312"/>
          <w:sz w:val="32"/>
          <w:szCs w:val="32"/>
        </w:rPr>
        <w:t>遂昌县作为全省萤石大型生产基地，拥有湖山、黄沙腰两大矿田，保有储量达 1400 万吨，远景储量超 3000 万吨，2025 年新探明的毛阳矿区更以 40.2% 的高品位刷新华东纪录，资源保障能力居全省前列</w:t>
      </w:r>
      <w:r>
        <w:rPr>
          <w:rFonts w:hint="eastAsia" w:eastAsia="仿宋_GB2312"/>
          <w:sz w:val="32"/>
          <w:szCs w:val="32"/>
        </w:rPr>
        <w:t>，市场前景十分广阔</w:t>
      </w:r>
      <w:r>
        <w:rPr>
          <w:rFonts w:hint="eastAsia" w:eastAsia="仿宋_GB2312"/>
          <w:b/>
          <w:bCs/>
          <w:sz w:val="32"/>
          <w:szCs w:val="32"/>
        </w:rPr>
        <w:t>，</w:t>
      </w:r>
      <w:r>
        <w:rPr>
          <w:rFonts w:hint="eastAsia" w:eastAsia="仿宋_GB2312"/>
          <w:sz w:val="32"/>
          <w:szCs w:val="32"/>
        </w:rPr>
        <w:t>为做好矿山安全工作提供了有利的市场环境和经济支撑。</w:t>
      </w:r>
    </w:p>
    <w:p w14:paraId="0BA0477B">
      <w:pPr>
        <w:spacing w:line="580" w:lineRule="exact"/>
        <w:ind w:firstLine="643" w:firstLineChars="200"/>
        <w:jc w:val="both"/>
        <w:rPr>
          <w:rFonts w:eastAsia="仿宋_GB2312"/>
          <w:sz w:val="32"/>
          <w:szCs w:val="32"/>
        </w:rPr>
      </w:pPr>
      <w:r>
        <w:rPr>
          <w:rFonts w:hint="eastAsia" w:eastAsia="仿宋_GB2312"/>
          <w:b/>
          <w:bCs/>
          <w:sz w:val="32"/>
          <w:szCs w:val="32"/>
        </w:rPr>
        <w:t>产业结构升级开创安全发展新局面。</w:t>
      </w:r>
      <w:r>
        <w:rPr>
          <w:rFonts w:eastAsia="仿宋_GB2312"/>
          <w:sz w:val="32"/>
          <w:szCs w:val="32"/>
        </w:rPr>
        <w:t>随着年产 3 万吨以下小型矿山加速升级改造或淘汰退出、存在安全互扰的相邻矿山整合优化、新设矿山安全准入标准持续提</w:t>
      </w:r>
      <w:r>
        <w:rPr>
          <w:rFonts w:hint="eastAsia" w:eastAsia="仿宋_GB2312"/>
          <w:sz w:val="32"/>
          <w:szCs w:val="32"/>
        </w:rPr>
        <w:t>高</w:t>
      </w:r>
      <w:r>
        <w:rPr>
          <w:rFonts w:eastAsia="仿宋_GB2312"/>
          <w:sz w:val="32"/>
          <w:szCs w:val="32"/>
        </w:rPr>
        <w:t>、矿产资源开发布局不断完善，遂昌县非煤矿山已逐步形成 “规模化开发、大型化运营、高标准化管理” 的发展格局，产业结构升级为矿山安全生产注入核心动力。全县拥有杭钢集团遂昌金矿省属国有企业，依托国企成熟的安全管理体系、雄厚的技术研发实力与规范的资金投入机制，在智能监测系统建设</w:t>
      </w:r>
      <w:r>
        <w:rPr>
          <w:rFonts w:hint="eastAsia" w:eastAsia="仿宋_GB2312"/>
          <w:sz w:val="32"/>
          <w:szCs w:val="32"/>
        </w:rPr>
        <w:t>、</w:t>
      </w:r>
      <w:r>
        <w:rPr>
          <w:rFonts w:eastAsia="仿宋_GB2312"/>
          <w:sz w:val="32"/>
          <w:szCs w:val="32"/>
        </w:rPr>
        <w:t>重大</w:t>
      </w:r>
      <w:r>
        <w:rPr>
          <w:rFonts w:hint="eastAsia" w:eastAsia="仿宋_GB2312"/>
          <w:sz w:val="32"/>
          <w:szCs w:val="32"/>
        </w:rPr>
        <w:t>事故</w:t>
      </w:r>
      <w:r>
        <w:rPr>
          <w:rFonts w:eastAsia="仿宋_GB2312"/>
          <w:sz w:val="32"/>
          <w:szCs w:val="32"/>
        </w:rPr>
        <w:t>隐患闭环治理（如采空区充填技术应用）、从业人员安全培训等方面形成标杆示范，可通过 “以点带面” 的辐射效应，带动县域内中小矿山企业对标提升安全管理水平，进一步推动全县矿山安全生产从 “被动防控” 向 “主动治理” 转变，为安全发展新局面提供强力支撑。</w:t>
      </w:r>
    </w:p>
    <w:p w14:paraId="1EE2F973">
      <w:pPr>
        <w:spacing w:line="580" w:lineRule="exact"/>
        <w:ind w:firstLine="643" w:firstLineChars="200"/>
        <w:jc w:val="both"/>
        <w:rPr>
          <w:rFonts w:eastAsia="仿宋_GB2312"/>
          <w:sz w:val="32"/>
          <w:szCs w:val="32"/>
        </w:rPr>
      </w:pPr>
      <w:r>
        <w:rPr>
          <w:rFonts w:hint="eastAsia" w:eastAsia="仿宋_GB2312"/>
          <w:b/>
          <w:bCs/>
          <w:sz w:val="32"/>
          <w:szCs w:val="32"/>
        </w:rPr>
        <w:t>技术更新为矿山安全持续赋能。</w:t>
      </w:r>
      <w:r>
        <w:rPr>
          <w:rFonts w:eastAsia="仿宋_GB2312"/>
          <w:sz w:val="32"/>
          <w:szCs w:val="32"/>
        </w:rPr>
        <w:t>技术革新正为矿山安全发展开辟全新空间。当前，新一轮科技革命</w:t>
      </w:r>
      <w:r>
        <w:rPr>
          <w:rFonts w:hint="eastAsia" w:eastAsia="仿宋_GB2312"/>
          <w:sz w:val="32"/>
          <w:szCs w:val="32"/>
        </w:rPr>
        <w:t>和</w:t>
      </w:r>
      <w:r>
        <w:rPr>
          <w:rFonts w:eastAsia="仿宋_GB2312"/>
          <w:sz w:val="32"/>
          <w:szCs w:val="32"/>
        </w:rPr>
        <w:t>产业变革加速演进，矿山领域的技术迭代全面深化：采掘生产、灾害防治等环节已广泛应用先进技术装备，安全风险管控的技术体系与实施措施持续优化升级。5G、人工智能、云计算等新一代信息技术与矿山场景深度融合，智能装备与矿山机器人的应用日益普及，推动矿山智能化建设提速升级，少人开采乃至无人开采的目标逐步从构想变为现实。</w:t>
      </w:r>
    </w:p>
    <w:p w14:paraId="04887A5C">
      <w:pPr>
        <w:spacing w:line="580" w:lineRule="exact"/>
        <w:ind w:firstLine="643" w:firstLineChars="200"/>
        <w:jc w:val="both"/>
        <w:rPr>
          <w:rFonts w:eastAsia="仿宋_GB2312"/>
          <w:sz w:val="32"/>
          <w:szCs w:val="32"/>
        </w:rPr>
      </w:pPr>
      <w:r>
        <w:rPr>
          <w:rFonts w:hint="eastAsia" w:eastAsia="仿宋_GB2312"/>
          <w:b/>
          <w:bCs/>
          <w:sz w:val="32"/>
          <w:szCs w:val="32"/>
        </w:rPr>
        <w:t>应急救援</w:t>
      </w:r>
      <w:r>
        <w:rPr>
          <w:rFonts w:eastAsia="仿宋_GB2312"/>
          <w:b/>
          <w:bCs/>
          <w:sz w:val="32"/>
          <w:szCs w:val="32"/>
        </w:rPr>
        <w:t>优势构筑安全屏障。</w:t>
      </w:r>
      <w:r>
        <w:rPr>
          <w:rFonts w:eastAsia="仿宋_GB2312"/>
          <w:sz w:val="32"/>
          <w:szCs w:val="32"/>
        </w:rPr>
        <w:t>遂昌县拥有全省第一</w:t>
      </w:r>
      <w:r>
        <w:rPr>
          <w:rFonts w:hint="eastAsia" w:eastAsia="仿宋_GB2312"/>
          <w:sz w:val="32"/>
          <w:szCs w:val="32"/>
        </w:rPr>
        <w:t>支</w:t>
      </w:r>
      <w:r>
        <w:rPr>
          <w:rFonts w:eastAsia="仿宋_GB2312"/>
          <w:sz w:val="32"/>
          <w:szCs w:val="32"/>
        </w:rPr>
        <w:t>矿山</w:t>
      </w:r>
      <w:r>
        <w:rPr>
          <w:rFonts w:hint="eastAsia" w:eastAsia="仿宋_GB2312"/>
          <w:sz w:val="32"/>
          <w:szCs w:val="32"/>
        </w:rPr>
        <w:t>专职</w:t>
      </w:r>
      <w:r>
        <w:rPr>
          <w:rFonts w:eastAsia="仿宋_GB2312"/>
          <w:sz w:val="32"/>
          <w:szCs w:val="32"/>
        </w:rPr>
        <w:t>应急救援队伍，在应急响应、灾害处置、技能培训等方面具备先发优势与专业能力，呈现 “响应速度快、处置经验足、保障能力强” 的核心特点</w:t>
      </w:r>
      <w:r>
        <w:rPr>
          <w:rFonts w:hint="eastAsia" w:eastAsia="仿宋_GB2312"/>
          <w:sz w:val="32"/>
          <w:szCs w:val="32"/>
        </w:rPr>
        <w:t>。</w:t>
      </w:r>
      <w:r>
        <w:rPr>
          <w:rFonts w:eastAsia="仿宋_GB2312"/>
          <w:sz w:val="32"/>
          <w:szCs w:val="32"/>
        </w:rPr>
        <w:t>传统矿山应急多依赖外部支援，存在响应滞后、处置衔接不畅等问题，本地专业救援队伍可实现</w:t>
      </w:r>
      <w:r>
        <w:rPr>
          <w:rFonts w:hint="eastAsia" w:eastAsia="仿宋_GB2312"/>
          <w:sz w:val="32"/>
          <w:szCs w:val="32"/>
        </w:rPr>
        <w:t>快速</w:t>
      </w:r>
      <w:r>
        <w:rPr>
          <w:rFonts w:eastAsia="仿宋_GB2312"/>
          <w:sz w:val="32"/>
          <w:szCs w:val="32"/>
        </w:rPr>
        <w:t>响应，在井下突水、坍塌、火灾等事故处置中能快速抵达现场，减少事故扩大化风险</w:t>
      </w:r>
      <w:r>
        <w:rPr>
          <w:rFonts w:hint="eastAsia" w:eastAsia="仿宋_GB2312"/>
          <w:sz w:val="32"/>
          <w:szCs w:val="32"/>
        </w:rPr>
        <w:t>；矿山专职应急救援队伍</w:t>
      </w:r>
      <w:r>
        <w:rPr>
          <w:rFonts w:eastAsia="仿宋_GB2312"/>
          <w:sz w:val="32"/>
          <w:szCs w:val="32"/>
        </w:rPr>
        <w:t>为</w:t>
      </w:r>
      <w:r>
        <w:rPr>
          <w:rFonts w:hint="eastAsia" w:eastAsia="仿宋_GB2312"/>
          <w:sz w:val="32"/>
          <w:szCs w:val="32"/>
        </w:rPr>
        <w:t>属地</w:t>
      </w:r>
      <w:r>
        <w:rPr>
          <w:rFonts w:eastAsia="仿宋_GB2312"/>
          <w:sz w:val="32"/>
          <w:szCs w:val="32"/>
        </w:rPr>
        <w:t>矿山企业提供直接应急救援保障，通过常态化应急演练、技能培训、隐患排查等服务，帮助企业提升自主防灾减灾能力，为遂昌县矿山安全发展筑牢 “专业救援 + 企业自防” 的双重防线，同时为全省矿山应急救援体系建设提供 “遂昌经验”，进一步强化区域矿山安全治理优势。</w:t>
      </w:r>
    </w:p>
    <w:p w14:paraId="02CADD23">
      <w:pPr>
        <w:spacing w:line="580" w:lineRule="exact"/>
        <w:ind w:firstLine="643" w:firstLineChars="200"/>
        <w:jc w:val="both"/>
        <w:rPr>
          <w:rFonts w:eastAsia="仿宋_GB2312"/>
          <w:sz w:val="32"/>
          <w:szCs w:val="32"/>
        </w:rPr>
      </w:pPr>
      <w:r>
        <w:rPr>
          <w:rFonts w:hint="eastAsia" w:eastAsia="仿宋_GB2312"/>
          <w:b/>
          <w:bCs/>
          <w:sz w:val="32"/>
          <w:szCs w:val="32"/>
        </w:rPr>
        <w:t>社会共治营造矿山安全良好氛围。</w:t>
      </w:r>
      <w:r>
        <w:rPr>
          <w:rFonts w:hint="eastAsia" w:eastAsia="仿宋_GB2312"/>
          <w:sz w:val="32"/>
          <w:szCs w:val="32"/>
        </w:rPr>
        <w:t>政府、企业、从业人员、行业协会、社会公众等多元主体各司其职、协同发力，形成共建共治共享的矿山安全生产新格局，筑牢矿山安全发展的坚实根基。矿山安全生产举报奖励制度的落实，极大地激发了群众参与的意愿，让违法违规行为、重大事故隐患等无处遁形，倒逼企业主动落实安全生产主体责任，有利于矿山企业安全稳定持续发展。</w:t>
      </w:r>
    </w:p>
    <w:p w14:paraId="3B9246A8">
      <w:pPr>
        <w:pStyle w:val="2"/>
        <w:spacing w:before="0" w:after="0" w:line="580" w:lineRule="exact"/>
        <w:ind w:firstLine="640" w:firstLineChars="200"/>
        <w:jc w:val="both"/>
        <w:rPr>
          <w:rFonts w:ascii="Times New Roman" w:hAnsi="Times New Roman" w:eastAsia="黑体" w:cs="Times New Roman"/>
          <w:color w:val="auto"/>
          <w:kern w:val="44"/>
          <w:sz w:val="32"/>
          <w:szCs w:val="32"/>
        </w:rPr>
      </w:pPr>
      <w:bookmarkStart w:id="12" w:name="_Toc218089288"/>
      <w:r>
        <w:rPr>
          <w:rFonts w:ascii="Times New Roman" w:hAnsi="Times New Roman" w:eastAsia="黑体" w:cs="Times New Roman"/>
          <w:color w:val="auto"/>
          <w:kern w:val="44"/>
          <w:sz w:val="32"/>
          <w:szCs w:val="32"/>
        </w:rPr>
        <w:t>二、指导思想和规划目标</w:t>
      </w:r>
      <w:bookmarkEnd w:id="12"/>
    </w:p>
    <w:p w14:paraId="75AD64AF">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13" w:name="_Toc218089289"/>
      <w:r>
        <w:rPr>
          <w:rFonts w:ascii="Times New Roman" w:hAnsi="Times New Roman" w:eastAsia="楷体_GB2312" w:cs="Times New Roman"/>
          <w:b/>
          <w:bCs/>
          <w:color w:val="auto"/>
          <w:kern w:val="2"/>
          <w:sz w:val="32"/>
          <w:szCs w:val="32"/>
        </w:rPr>
        <w:t>（一）指导思想</w:t>
      </w:r>
      <w:bookmarkEnd w:id="13"/>
    </w:p>
    <w:p w14:paraId="17FC93A0">
      <w:pPr>
        <w:spacing w:line="580" w:lineRule="exact"/>
        <w:ind w:firstLine="640" w:firstLineChars="200"/>
        <w:jc w:val="both"/>
        <w:rPr>
          <w:rFonts w:eastAsia="仿宋_GB2312"/>
          <w:kern w:val="2"/>
          <w:sz w:val="32"/>
          <w:szCs w:val="32"/>
        </w:rPr>
      </w:pPr>
      <w:bookmarkStart w:id="14" w:name="OLE_LINK15"/>
      <w:r>
        <w:rPr>
          <w:rFonts w:eastAsia="仿宋_GB2312"/>
          <w:kern w:val="2"/>
          <w:sz w:val="32"/>
          <w:szCs w:val="32"/>
        </w:rPr>
        <w:t>以习近平新时代中国特色</w:t>
      </w:r>
      <w:r>
        <w:rPr>
          <w:rFonts w:eastAsia="仿宋_GB2312"/>
          <w:sz w:val="32"/>
          <w:szCs w:val="32"/>
        </w:rPr>
        <w:t>社会主义</w:t>
      </w:r>
      <w:r>
        <w:rPr>
          <w:rFonts w:eastAsia="仿宋_GB2312"/>
          <w:kern w:val="2"/>
          <w:sz w:val="32"/>
          <w:szCs w:val="32"/>
        </w:rPr>
        <w:t>思想为指引，</w:t>
      </w:r>
      <w:r>
        <w:rPr>
          <w:rFonts w:hint="eastAsia" w:eastAsia="仿宋_GB2312"/>
          <w:kern w:val="2"/>
          <w:sz w:val="32"/>
          <w:szCs w:val="32"/>
        </w:rPr>
        <w:t>深入贯彻党的二十大和二十届历次全会精神</w:t>
      </w:r>
      <w:r>
        <w:rPr>
          <w:rFonts w:eastAsia="仿宋_GB2312"/>
          <w:kern w:val="2"/>
          <w:sz w:val="32"/>
          <w:szCs w:val="32"/>
        </w:rPr>
        <w:t>，秉持人民至上、生命至上的理念，坚</w:t>
      </w:r>
      <w:r>
        <w:rPr>
          <w:rFonts w:hint="eastAsia" w:eastAsia="仿宋_GB2312"/>
          <w:kern w:val="2"/>
          <w:sz w:val="32"/>
          <w:szCs w:val="32"/>
        </w:rPr>
        <w:t>持</w:t>
      </w:r>
      <w:r>
        <w:rPr>
          <w:rFonts w:eastAsia="仿宋_GB2312"/>
          <w:kern w:val="2"/>
          <w:sz w:val="32"/>
          <w:szCs w:val="32"/>
        </w:rPr>
        <w:t>安全第一、预防为主</w:t>
      </w:r>
      <w:r>
        <w:rPr>
          <w:rFonts w:hint="eastAsia" w:eastAsia="仿宋_GB2312"/>
          <w:kern w:val="2"/>
          <w:sz w:val="32"/>
          <w:szCs w:val="32"/>
        </w:rPr>
        <w:t>、综合治理</w:t>
      </w:r>
      <w:r>
        <w:rPr>
          <w:rFonts w:eastAsia="仿宋_GB2312"/>
          <w:kern w:val="2"/>
          <w:sz w:val="32"/>
          <w:szCs w:val="32"/>
        </w:rPr>
        <w:t>的方针，坚持标本兼治、重在治本的原则。将防范较大及以上事故的关键防线前移</w:t>
      </w:r>
      <w:r>
        <w:rPr>
          <w:rFonts w:hint="eastAsia" w:eastAsia="仿宋_GB2312"/>
          <w:kern w:val="2"/>
          <w:sz w:val="32"/>
          <w:szCs w:val="32"/>
        </w:rPr>
        <w:t>，通过源头管控、规范条件、严格管理、综合治理和强化监管，全面提升矿山企业规模化、机械化、信息化和安全管理科学化水平，从根本上消除事故隐患、从根本上解决问题，推动矿山行业安全高质量发展</w:t>
      </w:r>
      <w:r>
        <w:rPr>
          <w:rFonts w:eastAsia="仿宋_GB2312"/>
          <w:kern w:val="2"/>
          <w:sz w:val="32"/>
          <w:szCs w:val="32"/>
        </w:rPr>
        <w:t>，为</w:t>
      </w:r>
      <w:r>
        <w:rPr>
          <w:rFonts w:hint="eastAsia" w:eastAsia="仿宋_GB2312"/>
          <w:kern w:val="2"/>
          <w:sz w:val="32"/>
          <w:szCs w:val="32"/>
        </w:rPr>
        <w:t>山区县高水平推进社会主义现代化建设筑牢</w:t>
      </w:r>
      <w:r>
        <w:rPr>
          <w:rFonts w:eastAsia="仿宋_GB2312"/>
          <w:kern w:val="2"/>
          <w:sz w:val="32"/>
          <w:szCs w:val="32"/>
        </w:rPr>
        <w:t>矿山安全屏障。</w:t>
      </w:r>
      <w:bookmarkEnd w:id="14"/>
    </w:p>
    <w:p w14:paraId="4FB812F4">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15" w:name="_Toc218089290"/>
      <w:r>
        <w:rPr>
          <w:rFonts w:ascii="Times New Roman" w:hAnsi="Times New Roman" w:eastAsia="楷体_GB2312" w:cs="Times New Roman"/>
          <w:b/>
          <w:bCs/>
          <w:color w:val="auto"/>
          <w:kern w:val="2"/>
          <w:sz w:val="32"/>
          <w:szCs w:val="32"/>
        </w:rPr>
        <w:t>（二）基本原则</w:t>
      </w:r>
      <w:bookmarkEnd w:id="15"/>
    </w:p>
    <w:p w14:paraId="63BBEC76">
      <w:pPr>
        <w:spacing w:line="580" w:lineRule="exact"/>
        <w:ind w:firstLine="643" w:firstLineChars="200"/>
        <w:jc w:val="both"/>
        <w:rPr>
          <w:rFonts w:eastAsia="仿宋_GB2312"/>
          <w:kern w:val="2"/>
          <w:sz w:val="32"/>
          <w:szCs w:val="32"/>
        </w:rPr>
      </w:pPr>
      <w:r>
        <w:rPr>
          <w:rFonts w:eastAsia="仿宋_GB2312"/>
          <w:b/>
          <w:bCs/>
          <w:kern w:val="2"/>
          <w:sz w:val="32"/>
          <w:szCs w:val="32"/>
        </w:rPr>
        <w:t>坚持党的领导</w:t>
      </w:r>
      <w:r>
        <w:rPr>
          <w:rFonts w:hint="eastAsia" w:eastAsia="仿宋_GB2312"/>
          <w:b/>
          <w:bCs/>
          <w:kern w:val="2"/>
          <w:sz w:val="32"/>
          <w:szCs w:val="32"/>
        </w:rPr>
        <w:t>，安全发展</w:t>
      </w:r>
      <w:r>
        <w:rPr>
          <w:rFonts w:eastAsia="仿宋_GB2312"/>
          <w:b/>
          <w:bCs/>
          <w:kern w:val="2"/>
          <w:sz w:val="32"/>
          <w:szCs w:val="32"/>
        </w:rPr>
        <w:t>。</w:t>
      </w:r>
      <w:r>
        <w:rPr>
          <w:rFonts w:eastAsia="仿宋_GB2312"/>
          <w:kern w:val="2"/>
          <w:sz w:val="32"/>
          <w:szCs w:val="32"/>
        </w:rPr>
        <w:t>以习近平新时代中国特色社会主义思想为指导，</w:t>
      </w:r>
      <w:r>
        <w:rPr>
          <w:rFonts w:hint="eastAsia" w:eastAsia="仿宋_GB2312"/>
          <w:kern w:val="2"/>
          <w:sz w:val="32"/>
          <w:szCs w:val="32"/>
        </w:rPr>
        <w:t>全面</w:t>
      </w:r>
      <w:r>
        <w:rPr>
          <w:rFonts w:eastAsia="仿宋_GB2312"/>
          <w:kern w:val="2"/>
          <w:sz w:val="32"/>
          <w:szCs w:val="32"/>
        </w:rPr>
        <w:t>加强党对矿山安全生产工作的</w:t>
      </w:r>
      <w:r>
        <w:rPr>
          <w:rFonts w:hint="eastAsia" w:eastAsia="仿宋_GB2312"/>
          <w:kern w:val="2"/>
          <w:sz w:val="32"/>
          <w:szCs w:val="32"/>
        </w:rPr>
        <w:t>坚决</w:t>
      </w:r>
      <w:r>
        <w:rPr>
          <w:rFonts w:eastAsia="仿宋_GB2312"/>
          <w:kern w:val="2"/>
          <w:sz w:val="32"/>
          <w:szCs w:val="32"/>
        </w:rPr>
        <w:t>领导，始终坚持人民至上、生命至上，切实将确保人民生命安全放在首位，以党的领导引领安全发展方向，以安全发展践行党的初心使命。</w:t>
      </w:r>
    </w:p>
    <w:p w14:paraId="3B6B5232">
      <w:pPr>
        <w:spacing w:line="580" w:lineRule="exact"/>
        <w:ind w:firstLine="643" w:firstLineChars="200"/>
        <w:jc w:val="both"/>
        <w:rPr>
          <w:rFonts w:eastAsia="仿宋_GB2312"/>
          <w:b/>
          <w:bCs/>
          <w:kern w:val="2"/>
          <w:sz w:val="32"/>
          <w:szCs w:val="32"/>
        </w:rPr>
      </w:pPr>
      <w:r>
        <w:rPr>
          <w:rFonts w:eastAsia="仿宋_GB2312"/>
          <w:b/>
          <w:bCs/>
          <w:kern w:val="2"/>
          <w:sz w:val="32"/>
          <w:szCs w:val="32"/>
        </w:rPr>
        <w:t>坚持</w:t>
      </w:r>
      <w:r>
        <w:rPr>
          <w:rFonts w:hint="eastAsia" w:eastAsia="仿宋_GB2312"/>
          <w:b/>
          <w:bCs/>
          <w:kern w:val="2"/>
          <w:sz w:val="32"/>
          <w:szCs w:val="32"/>
        </w:rPr>
        <w:t>源头治理，精准防控。</w:t>
      </w:r>
      <w:r>
        <w:rPr>
          <w:rFonts w:hint="eastAsia" w:eastAsia="仿宋_GB2312"/>
          <w:kern w:val="2"/>
          <w:sz w:val="32"/>
          <w:szCs w:val="32"/>
        </w:rPr>
        <w:t>优化矿山开发布局和产业结构，严格安全准入，持续推进落后产能淘汰退出，高标准完善</w:t>
      </w:r>
      <w:r>
        <w:rPr>
          <w:rFonts w:eastAsia="仿宋_GB2312"/>
          <w:kern w:val="2"/>
          <w:sz w:val="32"/>
          <w:szCs w:val="32"/>
        </w:rPr>
        <w:t>企业风险分级管控与隐患排查治理双重预防机制，依据风险等级实施分级分类</w:t>
      </w:r>
      <w:r>
        <w:rPr>
          <w:rFonts w:hint="eastAsia" w:eastAsia="仿宋_GB2312"/>
          <w:kern w:val="2"/>
          <w:sz w:val="32"/>
          <w:szCs w:val="32"/>
        </w:rPr>
        <w:t>管控。</w:t>
      </w:r>
    </w:p>
    <w:p w14:paraId="1F3D0E26">
      <w:pPr>
        <w:spacing w:line="580" w:lineRule="exact"/>
        <w:ind w:firstLine="643" w:firstLineChars="200"/>
        <w:jc w:val="both"/>
        <w:rPr>
          <w:rFonts w:eastAsia="仿宋_GB2312"/>
          <w:b/>
          <w:bCs/>
          <w:kern w:val="2"/>
          <w:sz w:val="32"/>
          <w:szCs w:val="32"/>
        </w:rPr>
      </w:pPr>
      <w:r>
        <w:rPr>
          <w:rFonts w:hint="eastAsia" w:eastAsia="仿宋_GB2312"/>
          <w:b/>
          <w:bCs/>
          <w:kern w:val="2"/>
          <w:sz w:val="32"/>
          <w:szCs w:val="32"/>
        </w:rPr>
        <w:t>坚持科技强安，智慧赋能。</w:t>
      </w:r>
      <w:r>
        <w:rPr>
          <w:rFonts w:eastAsia="仿宋_GB2312"/>
          <w:kern w:val="2"/>
          <w:sz w:val="32"/>
          <w:szCs w:val="32"/>
        </w:rPr>
        <w:t>以“智慧化、信息化、智能化”转型为抓手，聚焦矿山开采、监测、救援等关键环节</w:t>
      </w:r>
      <w:r>
        <w:rPr>
          <w:rFonts w:hint="eastAsia" w:eastAsia="仿宋_GB2312"/>
          <w:kern w:val="2"/>
          <w:sz w:val="32"/>
          <w:szCs w:val="32"/>
        </w:rPr>
        <w:t>，全面提升先进装备配备水平。深化矿山数字化平台应用，推广使用</w:t>
      </w:r>
      <w:r>
        <w:rPr>
          <w:rFonts w:eastAsia="仿宋_GB2312"/>
          <w:kern w:val="2"/>
          <w:sz w:val="32"/>
          <w:szCs w:val="32"/>
        </w:rPr>
        <w:t>危险繁重岗位机器人替代</w:t>
      </w:r>
      <w:r>
        <w:rPr>
          <w:rFonts w:hint="eastAsia" w:eastAsia="仿宋_GB2312"/>
          <w:kern w:val="2"/>
          <w:sz w:val="32"/>
          <w:szCs w:val="32"/>
        </w:rPr>
        <w:t>，</w:t>
      </w:r>
      <w:r>
        <w:rPr>
          <w:rFonts w:eastAsia="仿宋_GB2312"/>
          <w:kern w:val="2"/>
          <w:sz w:val="32"/>
          <w:szCs w:val="32"/>
        </w:rPr>
        <w:t>构建全链条、全场景的智慧安全防护体系。</w:t>
      </w:r>
    </w:p>
    <w:p w14:paraId="0454944F">
      <w:pPr>
        <w:spacing w:line="580" w:lineRule="exact"/>
        <w:ind w:firstLine="643" w:firstLineChars="200"/>
        <w:jc w:val="both"/>
        <w:rPr>
          <w:rFonts w:eastAsia="仿宋_GB2312"/>
          <w:kern w:val="2"/>
          <w:sz w:val="32"/>
          <w:szCs w:val="32"/>
        </w:rPr>
      </w:pPr>
      <w:r>
        <w:rPr>
          <w:rFonts w:hint="eastAsia" w:eastAsia="仿宋_GB2312"/>
          <w:b/>
          <w:bCs/>
          <w:kern w:val="2"/>
          <w:sz w:val="32"/>
          <w:szCs w:val="32"/>
        </w:rPr>
        <w:t>坚持群防群治，依法治安。</w:t>
      </w:r>
      <w:r>
        <w:rPr>
          <w:rFonts w:hint="eastAsia" w:eastAsia="仿宋_GB2312"/>
          <w:kern w:val="2"/>
          <w:sz w:val="32"/>
          <w:szCs w:val="32"/>
        </w:rPr>
        <w:t>推动落实矿山安全隐患举报奖励制度，</w:t>
      </w:r>
      <w:r>
        <w:rPr>
          <w:rFonts w:eastAsia="仿宋_GB2312"/>
          <w:kern w:val="2"/>
          <w:sz w:val="32"/>
          <w:szCs w:val="32"/>
        </w:rPr>
        <w:t>引导社会力量</w:t>
      </w:r>
      <w:r>
        <w:rPr>
          <w:rFonts w:hint="eastAsia" w:eastAsia="仿宋_GB2312"/>
          <w:kern w:val="2"/>
          <w:sz w:val="32"/>
          <w:szCs w:val="32"/>
        </w:rPr>
        <w:t>广泛</w:t>
      </w:r>
      <w:r>
        <w:rPr>
          <w:rFonts w:eastAsia="仿宋_GB2312"/>
          <w:kern w:val="2"/>
          <w:sz w:val="32"/>
          <w:szCs w:val="32"/>
        </w:rPr>
        <w:t>参与矿山安全治理</w:t>
      </w:r>
      <w:r>
        <w:rPr>
          <w:rFonts w:hint="eastAsia" w:eastAsia="仿宋_GB2312"/>
          <w:kern w:val="2"/>
          <w:sz w:val="32"/>
          <w:szCs w:val="32"/>
        </w:rPr>
        <w:t>。同时，持续推进矿山安全法律法规宣教工作，使“依法治安”理念深入人心。</w:t>
      </w:r>
      <w:r>
        <w:rPr>
          <w:rFonts w:eastAsia="仿宋_GB2312"/>
          <w:kern w:val="2"/>
          <w:sz w:val="32"/>
          <w:szCs w:val="32"/>
        </w:rPr>
        <w:t>推动执法向专业化、精准化、规范化、信息化转型，提升监管监察的针对性与效能。</w:t>
      </w:r>
    </w:p>
    <w:p w14:paraId="3BCA5FA2">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16" w:name="_Toc218089291"/>
      <w:r>
        <w:rPr>
          <w:rFonts w:ascii="Times New Roman" w:hAnsi="Times New Roman" w:eastAsia="楷体_GB2312" w:cs="Times New Roman"/>
          <w:b/>
          <w:bCs/>
          <w:color w:val="auto"/>
          <w:kern w:val="2"/>
          <w:sz w:val="32"/>
          <w:szCs w:val="32"/>
        </w:rPr>
        <w:t>（三）规划目标</w:t>
      </w:r>
      <w:bookmarkEnd w:id="16"/>
    </w:p>
    <w:p w14:paraId="5DC3A7E3">
      <w:pPr>
        <w:spacing w:line="580" w:lineRule="exact"/>
        <w:ind w:firstLine="640" w:firstLineChars="200"/>
        <w:jc w:val="both"/>
        <w:rPr>
          <w:rFonts w:eastAsia="仿宋_GB2312"/>
          <w:kern w:val="2"/>
          <w:sz w:val="32"/>
          <w:szCs w:val="32"/>
        </w:rPr>
      </w:pPr>
      <w:r>
        <w:rPr>
          <w:rFonts w:eastAsia="仿宋_GB2312"/>
          <w:kern w:val="2"/>
          <w:sz w:val="32"/>
          <w:szCs w:val="32"/>
        </w:rPr>
        <w:t>到2030年，全面建成“源头严控、智能高效、风险可控、责任严实”的现代化矿山安全治理体系，实现</w:t>
      </w:r>
      <w:r>
        <w:rPr>
          <w:rFonts w:hint="eastAsia" w:eastAsia="仿宋_GB2312"/>
          <w:kern w:val="2"/>
          <w:sz w:val="32"/>
          <w:szCs w:val="32"/>
        </w:rPr>
        <w:t>矿山</w:t>
      </w:r>
      <w:r>
        <w:rPr>
          <w:rFonts w:eastAsia="仿宋_GB2312"/>
          <w:kern w:val="2"/>
          <w:sz w:val="32"/>
          <w:szCs w:val="32"/>
        </w:rPr>
        <w:t>本质安全水平达到浙江省领先地位，矿山安全生产形势持续稳定向好，为县域经济高质量发展提供坚实的安全保障。</w:t>
      </w:r>
    </w:p>
    <w:tbl>
      <w:tblPr>
        <w:tblStyle w:val="20"/>
        <w:tblW w:w="8931"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4382"/>
        <w:gridCol w:w="1984"/>
        <w:gridCol w:w="1700"/>
      </w:tblGrid>
      <w:tr w14:paraId="19BFE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1" w:type="dxa"/>
            <w:gridSpan w:val="4"/>
            <w:vAlign w:val="center"/>
          </w:tcPr>
          <w:p w14:paraId="360C87BB">
            <w:pPr>
              <w:pStyle w:val="42"/>
              <w:adjustRightInd w:val="0"/>
              <w:snapToGrid w:val="0"/>
              <w:spacing w:before="0" w:after="0" w:line="240" w:lineRule="auto"/>
              <w:jc w:val="center"/>
              <w:rPr>
                <w:rFonts w:ascii="Times New Roman" w:hAnsi="Times New Roman" w:eastAsia="黑体" w:cs="Times New Roman"/>
                <w:b/>
                <w:bCs/>
                <w:sz w:val="30"/>
                <w:szCs w:val="30"/>
              </w:rPr>
            </w:pPr>
            <w:bookmarkStart w:id="17" w:name="OLE_LINK8"/>
            <w:r>
              <w:rPr>
                <w:rFonts w:ascii="Times New Roman" w:hAnsi="Times New Roman" w:eastAsia="黑体" w:cs="Times New Roman"/>
                <w:b/>
                <w:bCs/>
                <w:sz w:val="30"/>
                <w:szCs w:val="30"/>
              </w:rPr>
              <w:t>专栏</w:t>
            </w:r>
            <w:r>
              <w:rPr>
                <w:rFonts w:hint="eastAsia" w:ascii="Times New Roman" w:hAnsi="Times New Roman" w:eastAsia="黑体" w:cs="Times New Roman"/>
                <w:b/>
                <w:bCs/>
                <w:sz w:val="30"/>
                <w:szCs w:val="30"/>
              </w:rPr>
              <w:t>2</w:t>
            </w:r>
            <w:r>
              <w:rPr>
                <w:rFonts w:ascii="Times New Roman" w:hAnsi="Times New Roman" w:eastAsia="黑体" w:cs="Times New Roman"/>
                <w:b/>
                <w:bCs/>
                <w:sz w:val="30"/>
                <w:szCs w:val="30"/>
              </w:rPr>
              <w:t>（2026-2030年期间）矿山安全生产主要指标</w:t>
            </w:r>
          </w:p>
        </w:tc>
      </w:tr>
      <w:tr w14:paraId="75B4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14:paraId="72764169">
            <w:pPr>
              <w:pStyle w:val="42"/>
              <w:adjustRightInd w:val="0"/>
              <w:snapToGrid w:val="0"/>
              <w:spacing w:before="0" w:after="0" w:line="240" w:lineRule="auto"/>
              <w:jc w:val="center"/>
              <w:rPr>
                <w:rFonts w:ascii="Times New Roman" w:hAnsi="Times New Roman" w:eastAsia="楷体_GB2312" w:cs="Times New Roman"/>
                <w:b/>
                <w:bCs/>
                <w:sz w:val="30"/>
                <w:szCs w:val="30"/>
              </w:rPr>
            </w:pPr>
            <w:r>
              <w:rPr>
                <w:rFonts w:ascii="Times New Roman" w:hAnsi="Times New Roman" w:eastAsia="楷体_GB2312" w:cs="Times New Roman"/>
                <w:b/>
                <w:bCs/>
                <w:sz w:val="30"/>
                <w:szCs w:val="30"/>
              </w:rPr>
              <w:t>序号</w:t>
            </w:r>
          </w:p>
        </w:tc>
        <w:tc>
          <w:tcPr>
            <w:tcW w:w="4382" w:type="dxa"/>
            <w:vAlign w:val="center"/>
          </w:tcPr>
          <w:p w14:paraId="3DB845DE">
            <w:pPr>
              <w:pStyle w:val="42"/>
              <w:adjustRightInd w:val="0"/>
              <w:snapToGrid w:val="0"/>
              <w:spacing w:before="0" w:after="0" w:line="240" w:lineRule="auto"/>
              <w:jc w:val="center"/>
              <w:rPr>
                <w:rFonts w:ascii="Times New Roman" w:hAnsi="Times New Roman" w:eastAsia="楷体_GB2312" w:cs="Times New Roman"/>
                <w:b/>
                <w:bCs/>
                <w:sz w:val="30"/>
                <w:szCs w:val="30"/>
              </w:rPr>
            </w:pPr>
            <w:r>
              <w:rPr>
                <w:rFonts w:ascii="Times New Roman" w:hAnsi="Times New Roman" w:eastAsia="楷体_GB2312" w:cs="Times New Roman"/>
                <w:b/>
                <w:bCs/>
                <w:sz w:val="30"/>
                <w:szCs w:val="30"/>
              </w:rPr>
              <w:t>指标名称</w:t>
            </w:r>
          </w:p>
        </w:tc>
        <w:tc>
          <w:tcPr>
            <w:tcW w:w="1984" w:type="dxa"/>
            <w:vAlign w:val="center"/>
          </w:tcPr>
          <w:p w14:paraId="615D1EB4">
            <w:pPr>
              <w:pStyle w:val="42"/>
              <w:adjustRightInd w:val="0"/>
              <w:snapToGrid w:val="0"/>
              <w:spacing w:before="0" w:after="0" w:line="240" w:lineRule="auto"/>
              <w:jc w:val="center"/>
              <w:rPr>
                <w:rFonts w:ascii="Times New Roman" w:hAnsi="Times New Roman" w:eastAsia="楷体_GB2312" w:cs="Times New Roman"/>
                <w:b/>
                <w:bCs/>
                <w:sz w:val="30"/>
                <w:szCs w:val="30"/>
              </w:rPr>
            </w:pPr>
            <w:r>
              <w:rPr>
                <w:rFonts w:ascii="Times New Roman" w:hAnsi="Times New Roman" w:eastAsia="楷体_GB2312" w:cs="Times New Roman"/>
                <w:b/>
                <w:bCs/>
                <w:sz w:val="30"/>
                <w:szCs w:val="30"/>
              </w:rPr>
              <w:t>预期值</w:t>
            </w:r>
          </w:p>
        </w:tc>
        <w:tc>
          <w:tcPr>
            <w:tcW w:w="1700" w:type="dxa"/>
            <w:vAlign w:val="center"/>
          </w:tcPr>
          <w:p w14:paraId="4C6FBD0D">
            <w:pPr>
              <w:pStyle w:val="42"/>
              <w:adjustRightInd w:val="0"/>
              <w:snapToGrid w:val="0"/>
              <w:spacing w:before="0" w:after="0" w:line="240" w:lineRule="auto"/>
              <w:jc w:val="center"/>
              <w:rPr>
                <w:rFonts w:ascii="Times New Roman" w:hAnsi="Times New Roman" w:eastAsia="楷体_GB2312" w:cs="Times New Roman"/>
                <w:b/>
                <w:bCs/>
                <w:sz w:val="30"/>
                <w:szCs w:val="30"/>
              </w:rPr>
            </w:pPr>
            <w:r>
              <w:rPr>
                <w:rFonts w:ascii="Times New Roman" w:hAnsi="Times New Roman" w:eastAsia="楷体_GB2312" w:cs="Times New Roman"/>
                <w:b/>
                <w:bCs/>
                <w:sz w:val="30"/>
                <w:szCs w:val="30"/>
              </w:rPr>
              <w:t>指标属性</w:t>
            </w:r>
          </w:p>
        </w:tc>
      </w:tr>
      <w:tr w14:paraId="2E055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14:paraId="2759A3A0">
            <w:pPr>
              <w:pStyle w:val="42"/>
              <w:adjustRightInd w:val="0"/>
              <w:snapToGrid w:val="0"/>
              <w:spacing w:before="0" w:after="0" w:line="240" w:lineRule="auto"/>
              <w:ind w:firstLine="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4382" w:type="dxa"/>
            <w:vAlign w:val="center"/>
          </w:tcPr>
          <w:p w14:paraId="34E6EC18">
            <w:pPr>
              <w:pStyle w:val="42"/>
              <w:adjustRightInd w:val="0"/>
              <w:snapToGrid w:val="0"/>
              <w:spacing w:before="0" w:after="0" w:line="240" w:lineRule="auto"/>
              <w:rPr>
                <w:rFonts w:ascii="Times New Roman" w:hAnsi="Times New Roman" w:eastAsia="仿宋_GB2312" w:cs="Times New Roman"/>
                <w:sz w:val="24"/>
                <w:szCs w:val="24"/>
              </w:rPr>
            </w:pPr>
            <w:bookmarkStart w:id="18" w:name="OLE_LINK7"/>
            <w:r>
              <w:rPr>
                <w:rFonts w:ascii="Times New Roman" w:hAnsi="Times New Roman" w:eastAsia="仿宋_GB2312" w:cs="Times New Roman"/>
                <w:sz w:val="24"/>
                <w:szCs w:val="24"/>
              </w:rPr>
              <w:t>五年</w:t>
            </w:r>
            <w:bookmarkEnd w:id="18"/>
            <w:r>
              <w:rPr>
                <w:rFonts w:ascii="Times New Roman" w:hAnsi="Times New Roman" w:eastAsia="仿宋_GB2312" w:cs="Times New Roman"/>
                <w:sz w:val="24"/>
                <w:szCs w:val="24"/>
              </w:rPr>
              <w:t>矿山事故起数</w:t>
            </w:r>
          </w:p>
        </w:tc>
        <w:tc>
          <w:tcPr>
            <w:tcW w:w="1984" w:type="dxa"/>
            <w:vAlign w:val="center"/>
          </w:tcPr>
          <w:p w14:paraId="19FC2CB0">
            <w:pPr>
              <w:pStyle w:val="42"/>
              <w:adjustRightInd w:val="0"/>
              <w:snapToGrid w:val="0"/>
              <w:spacing w:before="0" w:after="0" w:line="240" w:lineRule="auto"/>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下降</w:t>
            </w:r>
            <w:r>
              <w:rPr>
                <w:rFonts w:hint="eastAsia" w:ascii="Times New Roman" w:hAnsi="Times New Roman" w:eastAsia="仿宋_GB2312" w:cs="Times New Roman"/>
                <w:sz w:val="24"/>
                <w:szCs w:val="24"/>
              </w:rPr>
              <w:t>50</w:t>
            </w:r>
            <w:r>
              <w:rPr>
                <w:rFonts w:ascii="Times New Roman" w:hAnsi="Times New Roman" w:eastAsia="仿宋_GB2312" w:cs="Times New Roman"/>
                <w:sz w:val="24"/>
                <w:szCs w:val="24"/>
              </w:rPr>
              <w:t>%</w:t>
            </w:r>
          </w:p>
        </w:tc>
        <w:tc>
          <w:tcPr>
            <w:tcW w:w="1700" w:type="dxa"/>
            <w:vAlign w:val="center"/>
          </w:tcPr>
          <w:p w14:paraId="7A4B18DA">
            <w:pPr>
              <w:pStyle w:val="42"/>
              <w:adjustRightInd w:val="0"/>
              <w:snapToGrid w:val="0"/>
              <w:spacing w:before="0"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14:paraId="27F63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5" w:type="dxa"/>
            <w:vAlign w:val="center"/>
          </w:tcPr>
          <w:p w14:paraId="1DE30754">
            <w:pPr>
              <w:pStyle w:val="42"/>
              <w:adjustRightInd w:val="0"/>
              <w:snapToGrid w:val="0"/>
              <w:spacing w:before="0" w:after="0" w:line="240" w:lineRule="auto"/>
              <w:ind w:firstLine="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382" w:type="dxa"/>
            <w:vAlign w:val="center"/>
          </w:tcPr>
          <w:p w14:paraId="299CD239">
            <w:pPr>
              <w:pStyle w:val="42"/>
              <w:adjustRightInd w:val="0"/>
              <w:snapToGrid w:val="0"/>
              <w:spacing w:before="0" w:after="0"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五年矿山事故死亡人数</w:t>
            </w:r>
          </w:p>
        </w:tc>
        <w:tc>
          <w:tcPr>
            <w:tcW w:w="1984" w:type="dxa"/>
            <w:vAlign w:val="center"/>
          </w:tcPr>
          <w:p w14:paraId="00398ABC">
            <w:pPr>
              <w:pStyle w:val="42"/>
              <w:adjustRightInd w:val="0"/>
              <w:snapToGrid w:val="0"/>
              <w:spacing w:before="0" w:after="0" w:line="240" w:lineRule="auto"/>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下降</w:t>
            </w:r>
            <w:r>
              <w:rPr>
                <w:rFonts w:hint="eastAsia" w:ascii="Times New Roman" w:hAnsi="Times New Roman" w:eastAsia="仿宋_GB2312" w:cs="Times New Roman"/>
                <w:sz w:val="24"/>
                <w:szCs w:val="24"/>
              </w:rPr>
              <w:t>50</w:t>
            </w:r>
            <w:r>
              <w:rPr>
                <w:rFonts w:ascii="Times New Roman" w:hAnsi="Times New Roman" w:eastAsia="仿宋_GB2312" w:cs="Times New Roman"/>
                <w:sz w:val="24"/>
                <w:szCs w:val="24"/>
              </w:rPr>
              <w:t>%</w:t>
            </w:r>
          </w:p>
        </w:tc>
        <w:tc>
          <w:tcPr>
            <w:tcW w:w="1700" w:type="dxa"/>
            <w:vAlign w:val="center"/>
          </w:tcPr>
          <w:p w14:paraId="3A8C005A">
            <w:pPr>
              <w:pStyle w:val="42"/>
              <w:adjustRightInd w:val="0"/>
              <w:snapToGrid w:val="0"/>
              <w:spacing w:before="0"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14:paraId="2EE55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14:paraId="2C9151CD">
            <w:pPr>
              <w:pStyle w:val="42"/>
              <w:adjustRightInd w:val="0"/>
              <w:snapToGrid w:val="0"/>
              <w:spacing w:before="0" w:after="0" w:line="240" w:lineRule="auto"/>
              <w:ind w:firstLine="200"/>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4382" w:type="dxa"/>
            <w:vAlign w:val="center"/>
          </w:tcPr>
          <w:p w14:paraId="5DFBE7C8">
            <w:pPr>
              <w:pStyle w:val="42"/>
              <w:adjustRightInd w:val="0"/>
              <w:snapToGrid w:val="0"/>
              <w:spacing w:before="0" w:after="0" w:line="24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在产</w:t>
            </w:r>
            <w:r>
              <w:rPr>
                <w:rFonts w:ascii="Times New Roman" w:hAnsi="Times New Roman" w:eastAsia="仿宋_GB2312" w:cs="Times New Roman"/>
                <w:sz w:val="24"/>
                <w:szCs w:val="24"/>
              </w:rPr>
              <w:t>地下矿山老采空区治理率</w:t>
            </w:r>
          </w:p>
        </w:tc>
        <w:tc>
          <w:tcPr>
            <w:tcW w:w="1984" w:type="dxa"/>
            <w:vAlign w:val="center"/>
          </w:tcPr>
          <w:p w14:paraId="23F7DA58">
            <w:pPr>
              <w:pStyle w:val="42"/>
              <w:adjustRightInd w:val="0"/>
              <w:snapToGrid w:val="0"/>
              <w:spacing w:before="0" w:after="0" w:line="240" w:lineRule="auto"/>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100%</w:t>
            </w:r>
          </w:p>
        </w:tc>
        <w:tc>
          <w:tcPr>
            <w:tcW w:w="1700" w:type="dxa"/>
            <w:vAlign w:val="center"/>
          </w:tcPr>
          <w:p w14:paraId="76803104">
            <w:pPr>
              <w:pStyle w:val="42"/>
              <w:adjustRightInd w:val="0"/>
              <w:snapToGrid w:val="0"/>
              <w:spacing w:before="0"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14:paraId="47148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14:paraId="2F80C54C">
            <w:pPr>
              <w:pStyle w:val="42"/>
              <w:adjustRightInd w:val="0"/>
              <w:snapToGrid w:val="0"/>
              <w:spacing w:before="0" w:after="0" w:line="240" w:lineRule="auto"/>
              <w:ind w:firstLine="200"/>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4</w:t>
            </w:r>
          </w:p>
        </w:tc>
        <w:tc>
          <w:tcPr>
            <w:tcW w:w="4382" w:type="dxa"/>
            <w:vAlign w:val="center"/>
          </w:tcPr>
          <w:p w14:paraId="7A1DC12F">
            <w:pPr>
              <w:pStyle w:val="42"/>
              <w:adjustRightInd w:val="0"/>
              <w:snapToGrid w:val="0"/>
              <w:spacing w:before="0" w:after="0" w:line="24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地下矿山</w:t>
            </w:r>
            <w:r>
              <w:rPr>
                <w:rFonts w:ascii="Times New Roman" w:hAnsi="Times New Roman" w:eastAsia="仿宋_GB2312" w:cs="Times New Roman"/>
                <w:sz w:val="24"/>
                <w:szCs w:val="24"/>
              </w:rPr>
              <w:t>机械凿岩、撬毛</w:t>
            </w:r>
            <w:r>
              <w:rPr>
                <w:rFonts w:hint="eastAsia" w:ascii="Times New Roman" w:hAnsi="Times New Roman" w:eastAsia="仿宋_GB2312" w:cs="Times New Roman"/>
                <w:sz w:val="24"/>
                <w:szCs w:val="24"/>
              </w:rPr>
              <w:t>占比</w:t>
            </w:r>
          </w:p>
        </w:tc>
        <w:tc>
          <w:tcPr>
            <w:tcW w:w="1984" w:type="dxa"/>
            <w:vAlign w:val="center"/>
          </w:tcPr>
          <w:p w14:paraId="62891A57">
            <w:pPr>
              <w:pStyle w:val="42"/>
              <w:adjustRightInd w:val="0"/>
              <w:snapToGrid w:val="0"/>
              <w:spacing w:before="0" w:after="0" w:line="240" w:lineRule="auto"/>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提升40%</w:t>
            </w:r>
          </w:p>
        </w:tc>
        <w:tc>
          <w:tcPr>
            <w:tcW w:w="1700" w:type="dxa"/>
            <w:vAlign w:val="center"/>
          </w:tcPr>
          <w:p w14:paraId="40C45598">
            <w:pPr>
              <w:pStyle w:val="42"/>
              <w:adjustRightInd w:val="0"/>
              <w:snapToGrid w:val="0"/>
              <w:spacing w:before="0"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14:paraId="135C5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14:paraId="79ABA129">
            <w:pPr>
              <w:pStyle w:val="42"/>
              <w:adjustRightInd w:val="0"/>
              <w:snapToGrid w:val="0"/>
              <w:spacing w:before="0" w:after="0" w:line="240" w:lineRule="auto"/>
              <w:ind w:firstLine="200"/>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5</w:t>
            </w:r>
          </w:p>
        </w:tc>
        <w:tc>
          <w:tcPr>
            <w:tcW w:w="4382" w:type="dxa"/>
            <w:vAlign w:val="center"/>
          </w:tcPr>
          <w:p w14:paraId="4852973B">
            <w:pPr>
              <w:pStyle w:val="42"/>
              <w:adjustRightInd w:val="0"/>
              <w:snapToGrid w:val="0"/>
              <w:spacing w:before="0" w:after="0" w:line="24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地下矿山</w:t>
            </w:r>
            <w:r>
              <w:rPr>
                <w:rFonts w:hint="eastAsia" w:ascii="仿宋_GB2312" w:hAnsi="仿宋_GB2312" w:eastAsia="仿宋_GB2312" w:cs="仿宋_GB2312"/>
                <w:kern w:val="2"/>
                <w:sz w:val="24"/>
                <w:szCs w:val="24"/>
              </w:rPr>
              <w:t>采掘、运输作业机械化程度</w:t>
            </w:r>
          </w:p>
        </w:tc>
        <w:tc>
          <w:tcPr>
            <w:tcW w:w="1984" w:type="dxa"/>
            <w:vAlign w:val="center"/>
          </w:tcPr>
          <w:p w14:paraId="23809DA8">
            <w:pPr>
              <w:pStyle w:val="42"/>
              <w:adjustRightInd w:val="0"/>
              <w:snapToGrid w:val="0"/>
              <w:spacing w:before="0" w:after="0" w:line="240" w:lineRule="auto"/>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达80%以上</w:t>
            </w:r>
          </w:p>
        </w:tc>
        <w:tc>
          <w:tcPr>
            <w:tcW w:w="1700" w:type="dxa"/>
            <w:vAlign w:val="center"/>
          </w:tcPr>
          <w:p w14:paraId="182D0D1A">
            <w:pPr>
              <w:pStyle w:val="42"/>
              <w:adjustRightInd w:val="0"/>
              <w:snapToGrid w:val="0"/>
              <w:spacing w:before="0" w:after="0" w:line="24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预期性</w:t>
            </w:r>
          </w:p>
        </w:tc>
      </w:tr>
      <w:tr w14:paraId="4DF9F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5" w:type="dxa"/>
            <w:vAlign w:val="center"/>
          </w:tcPr>
          <w:p w14:paraId="58215802">
            <w:pPr>
              <w:pStyle w:val="42"/>
              <w:adjustRightInd w:val="0"/>
              <w:snapToGrid w:val="0"/>
              <w:spacing w:before="0" w:after="0" w:line="240" w:lineRule="auto"/>
              <w:ind w:firstLine="200"/>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6</w:t>
            </w:r>
          </w:p>
        </w:tc>
        <w:tc>
          <w:tcPr>
            <w:tcW w:w="4382" w:type="dxa"/>
            <w:vAlign w:val="center"/>
          </w:tcPr>
          <w:p w14:paraId="123A2B75">
            <w:pPr>
              <w:pStyle w:val="42"/>
              <w:adjustRightInd w:val="0"/>
              <w:snapToGrid w:val="0"/>
              <w:spacing w:before="0" w:after="0" w:line="24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智能化、机械化示范矿山</w:t>
            </w:r>
          </w:p>
        </w:tc>
        <w:tc>
          <w:tcPr>
            <w:tcW w:w="1984" w:type="dxa"/>
            <w:vAlign w:val="center"/>
          </w:tcPr>
          <w:p w14:paraId="5CA1DC1A">
            <w:pPr>
              <w:pStyle w:val="42"/>
              <w:adjustRightInd w:val="0"/>
              <w:snapToGrid w:val="0"/>
              <w:spacing w:before="0" w:after="0" w:line="240" w:lineRule="auto"/>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培育1家</w:t>
            </w:r>
          </w:p>
        </w:tc>
        <w:tc>
          <w:tcPr>
            <w:tcW w:w="1700" w:type="dxa"/>
            <w:vAlign w:val="center"/>
          </w:tcPr>
          <w:p w14:paraId="4885BEEA">
            <w:pPr>
              <w:pStyle w:val="42"/>
              <w:adjustRightInd w:val="0"/>
              <w:snapToGrid w:val="0"/>
              <w:spacing w:before="0" w:after="0" w:line="240" w:lineRule="auto"/>
              <w:jc w:val="center"/>
              <w:rPr>
                <w:rFonts w:ascii="Times New Roman" w:hAnsi="Times New Roman" w:eastAsia="仿宋_GB2312" w:cs="Times New Roman"/>
                <w:sz w:val="24"/>
                <w:szCs w:val="24"/>
              </w:rPr>
            </w:pPr>
            <w:bookmarkStart w:id="19" w:name="OLE_LINK4"/>
            <w:r>
              <w:rPr>
                <w:rFonts w:hint="eastAsia" w:ascii="Times New Roman" w:hAnsi="Times New Roman" w:eastAsia="仿宋_GB2312" w:cs="Times New Roman"/>
                <w:sz w:val="24"/>
                <w:szCs w:val="24"/>
              </w:rPr>
              <w:t>预期性</w:t>
            </w:r>
            <w:bookmarkEnd w:id="19"/>
          </w:p>
        </w:tc>
      </w:tr>
      <w:bookmarkEnd w:id="17"/>
    </w:tbl>
    <w:p w14:paraId="0AC44D8C">
      <w:pPr>
        <w:pStyle w:val="2"/>
        <w:spacing w:before="0" w:after="0" w:line="580" w:lineRule="exact"/>
        <w:ind w:firstLine="640" w:firstLineChars="200"/>
        <w:jc w:val="both"/>
        <w:rPr>
          <w:rFonts w:ascii="Times New Roman" w:hAnsi="Times New Roman" w:eastAsia="黑体" w:cs="Times New Roman"/>
          <w:color w:val="auto"/>
          <w:kern w:val="44"/>
          <w:sz w:val="32"/>
          <w:szCs w:val="32"/>
        </w:rPr>
      </w:pPr>
      <w:bookmarkStart w:id="20" w:name="_Toc218089292"/>
      <w:r>
        <w:rPr>
          <w:rFonts w:ascii="Times New Roman" w:hAnsi="Times New Roman" w:eastAsia="黑体" w:cs="Times New Roman"/>
          <w:color w:val="auto"/>
          <w:kern w:val="44"/>
          <w:sz w:val="32"/>
          <w:szCs w:val="32"/>
        </w:rPr>
        <w:t>三、重点任务</w:t>
      </w:r>
      <w:bookmarkEnd w:id="20"/>
    </w:p>
    <w:p w14:paraId="27DFB127">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21" w:name="_Toc218089293"/>
      <w:r>
        <w:rPr>
          <w:rFonts w:hint="eastAsia" w:ascii="Times New Roman" w:hAnsi="Times New Roman" w:eastAsia="楷体_GB2312" w:cs="Times New Roman"/>
          <w:b/>
          <w:bCs/>
          <w:color w:val="auto"/>
          <w:kern w:val="2"/>
          <w:sz w:val="32"/>
          <w:szCs w:val="32"/>
        </w:rPr>
        <w:t>（一）优化产业结构，</w:t>
      </w:r>
      <w:r>
        <w:rPr>
          <w:rFonts w:ascii="Times New Roman" w:hAnsi="Times New Roman" w:eastAsia="楷体_GB2312" w:cs="Times New Roman"/>
          <w:b/>
          <w:bCs/>
          <w:color w:val="auto"/>
          <w:kern w:val="2"/>
          <w:sz w:val="32"/>
          <w:szCs w:val="32"/>
        </w:rPr>
        <w:t>筑牢源头治理安全防线</w:t>
      </w:r>
      <w:bookmarkEnd w:id="21"/>
    </w:p>
    <w:p w14:paraId="4B9BEEF9">
      <w:pPr>
        <w:spacing w:line="580" w:lineRule="exact"/>
        <w:ind w:firstLine="643" w:firstLineChars="200"/>
        <w:jc w:val="both"/>
        <w:rPr>
          <w:rFonts w:eastAsia="仿宋_GB2312"/>
          <w:kern w:val="2"/>
          <w:sz w:val="32"/>
          <w:szCs w:val="32"/>
        </w:rPr>
      </w:pPr>
      <w:r>
        <w:rPr>
          <w:rFonts w:hint="eastAsia" w:eastAsia="仿宋_GB2312"/>
          <w:b/>
          <w:bCs/>
          <w:kern w:val="2"/>
          <w:sz w:val="32"/>
          <w:szCs w:val="32"/>
        </w:rPr>
        <w:t>提高新设矿山安全准入条件。</w:t>
      </w:r>
      <w:r>
        <w:rPr>
          <w:rFonts w:hint="eastAsia" w:eastAsia="仿宋_GB2312"/>
          <w:kern w:val="2"/>
          <w:sz w:val="32"/>
          <w:szCs w:val="32"/>
        </w:rPr>
        <w:t>配合</w:t>
      </w:r>
      <w:r>
        <w:rPr>
          <w:rFonts w:eastAsia="仿宋_GB2312"/>
          <w:kern w:val="2"/>
          <w:sz w:val="32"/>
          <w:szCs w:val="32"/>
        </w:rPr>
        <w:t>自然资源等部门开展矿山项目联合踏勘</w:t>
      </w:r>
      <w:r>
        <w:rPr>
          <w:rFonts w:hint="eastAsia" w:eastAsia="仿宋_GB2312"/>
          <w:kern w:val="2"/>
          <w:sz w:val="32"/>
          <w:szCs w:val="32"/>
        </w:rPr>
        <w:t>，</w:t>
      </w:r>
      <w:r>
        <w:rPr>
          <w:rFonts w:eastAsia="仿宋_GB2312"/>
          <w:kern w:val="2"/>
          <w:sz w:val="32"/>
          <w:szCs w:val="32"/>
        </w:rPr>
        <w:t>经确认符合</w:t>
      </w:r>
      <w:r>
        <w:rPr>
          <w:rFonts w:hint="eastAsia" w:eastAsia="仿宋_GB2312"/>
          <w:kern w:val="2"/>
          <w:sz w:val="32"/>
          <w:szCs w:val="32"/>
        </w:rPr>
        <w:t>矿山选址</w:t>
      </w:r>
      <w:r>
        <w:rPr>
          <w:rFonts w:eastAsia="仿宋_GB2312"/>
          <w:kern w:val="2"/>
          <w:sz w:val="32"/>
          <w:szCs w:val="32"/>
        </w:rPr>
        <w:t>条件后方可推进后续工作；确保与周边居民区域、学校、道路等生产生活设施的安全距离，从源头规避安全风险。</w:t>
      </w:r>
    </w:p>
    <w:p w14:paraId="382B9D13">
      <w:pPr>
        <w:spacing w:line="580" w:lineRule="exact"/>
        <w:ind w:firstLine="643" w:firstLineChars="200"/>
        <w:jc w:val="both"/>
        <w:rPr>
          <w:rFonts w:eastAsia="仿宋_GB2312"/>
          <w:sz w:val="32"/>
          <w:szCs w:val="32"/>
        </w:rPr>
      </w:pPr>
      <w:r>
        <w:rPr>
          <w:rFonts w:hint="eastAsia" w:eastAsia="仿宋_GB2312"/>
          <w:b/>
          <w:bCs/>
          <w:kern w:val="2"/>
          <w:sz w:val="32"/>
          <w:szCs w:val="32"/>
        </w:rPr>
        <w:t>矿山建设项目安全设施三同时。审批权限内的</w:t>
      </w:r>
      <w:r>
        <w:rPr>
          <w:rFonts w:eastAsia="仿宋_GB2312"/>
          <w:kern w:val="2"/>
          <w:sz w:val="32"/>
          <w:szCs w:val="32"/>
        </w:rPr>
        <w:t>改建、扩建地下矿山涉及采空区处理的，需</w:t>
      </w:r>
      <w:r>
        <w:rPr>
          <w:rFonts w:hint="eastAsia" w:eastAsia="仿宋_GB2312"/>
          <w:kern w:val="2"/>
          <w:sz w:val="32"/>
          <w:szCs w:val="32"/>
        </w:rPr>
        <w:t>结合矿山隐蔽致灾报告</w:t>
      </w:r>
      <w:r>
        <w:rPr>
          <w:rFonts w:eastAsia="仿宋_GB2312"/>
          <w:kern w:val="2"/>
          <w:sz w:val="32"/>
          <w:szCs w:val="32"/>
        </w:rPr>
        <w:t>在安全设施设计中明确采空区治理方案，治理完成后方可进行后续开采作业；露天矿山改建、扩建涉及边坡高度增加或边坡角调整的，需重新开展边坡稳定性分析，制定专项安全措施，确保边坡安全。</w:t>
      </w:r>
      <w:r>
        <w:rPr>
          <w:rFonts w:eastAsia="仿宋_GB2312"/>
          <w:sz w:val="32"/>
          <w:szCs w:val="32"/>
        </w:rPr>
        <w:t>同时，加强对改建、扩建矿山项目施工过程的安全监管，重点检查施工单位是否按照安全设施设计施工、安全管理制度是否落实、从业人员是否具备相应资质等，对发现的安全隐患及时督促整改，确保改建、扩建项目施工安全。</w:t>
      </w:r>
    </w:p>
    <w:p w14:paraId="7C35BAD7">
      <w:pPr>
        <w:spacing w:line="580" w:lineRule="exact"/>
        <w:ind w:firstLine="643" w:firstLineChars="200"/>
        <w:jc w:val="both"/>
        <w:rPr>
          <w:rFonts w:eastAsia="仿宋_GB2312"/>
          <w:kern w:val="2"/>
          <w:sz w:val="32"/>
          <w:szCs w:val="32"/>
        </w:rPr>
      </w:pPr>
      <w:r>
        <w:rPr>
          <w:rFonts w:hint="eastAsia" w:eastAsia="仿宋_GB2312"/>
          <w:b/>
          <w:bCs/>
          <w:sz w:val="32"/>
          <w:szCs w:val="32"/>
        </w:rPr>
        <w:t>推进安全条件不达标</w:t>
      </w:r>
      <w:r>
        <w:rPr>
          <w:rFonts w:eastAsia="仿宋_GB2312"/>
          <w:b/>
          <w:bCs/>
          <w:sz w:val="32"/>
          <w:szCs w:val="32"/>
        </w:rPr>
        <w:t>矿山有序退出</w:t>
      </w:r>
      <w:r>
        <w:rPr>
          <w:rFonts w:hint="eastAsia" w:eastAsia="仿宋_GB2312"/>
          <w:b/>
          <w:bCs/>
          <w:kern w:val="2"/>
          <w:sz w:val="32"/>
          <w:szCs w:val="32"/>
        </w:rPr>
        <w:t>。</w:t>
      </w:r>
      <w:r>
        <w:rPr>
          <w:rFonts w:eastAsia="仿宋_GB2312"/>
          <w:kern w:val="2"/>
          <w:sz w:val="32"/>
          <w:szCs w:val="32"/>
        </w:rPr>
        <w:t>明确</w:t>
      </w:r>
      <w:r>
        <w:rPr>
          <w:rFonts w:hint="eastAsia" w:eastAsia="仿宋_GB2312"/>
          <w:kern w:val="2"/>
          <w:sz w:val="32"/>
          <w:szCs w:val="32"/>
        </w:rPr>
        <w:t>落后产能退出</w:t>
      </w:r>
      <w:r>
        <w:rPr>
          <w:rFonts w:eastAsia="仿宋_GB2312"/>
          <w:kern w:val="2"/>
          <w:sz w:val="32"/>
          <w:szCs w:val="32"/>
        </w:rPr>
        <w:t>标准</w:t>
      </w:r>
      <w:r>
        <w:rPr>
          <w:rFonts w:hint="eastAsia" w:eastAsia="仿宋_GB2312"/>
          <w:kern w:val="2"/>
          <w:sz w:val="32"/>
          <w:szCs w:val="32"/>
        </w:rPr>
        <w:t>，对于</w:t>
      </w:r>
      <w:r>
        <w:rPr>
          <w:rFonts w:eastAsia="仿宋_GB2312"/>
          <w:kern w:val="2"/>
          <w:sz w:val="32"/>
          <w:szCs w:val="32"/>
        </w:rPr>
        <w:t>生产规模</w:t>
      </w:r>
      <w:r>
        <w:rPr>
          <w:rFonts w:hint="eastAsia" w:eastAsia="仿宋_GB2312"/>
          <w:kern w:val="2"/>
          <w:sz w:val="32"/>
          <w:szCs w:val="32"/>
        </w:rPr>
        <w:t>、安全条件不达标的，采空区治理不到位的和资源枯竭且无进一步资源勘探潜力的矿山纳入落后产能退出名单，限期退出关闭。</w:t>
      </w:r>
      <w:r>
        <w:rPr>
          <w:rFonts w:eastAsia="仿宋_GB2312"/>
          <w:kern w:val="2"/>
          <w:sz w:val="32"/>
          <w:szCs w:val="32"/>
        </w:rPr>
        <w:t>分阶段推进落后产能退出</w:t>
      </w:r>
      <w:r>
        <w:rPr>
          <w:rFonts w:hint="eastAsia" w:eastAsia="仿宋_GB2312"/>
          <w:kern w:val="2"/>
          <w:sz w:val="32"/>
          <w:szCs w:val="32"/>
        </w:rPr>
        <w:t>，</w:t>
      </w:r>
      <w:r>
        <w:rPr>
          <w:rFonts w:eastAsia="仿宋_GB2312"/>
          <w:kern w:val="2"/>
          <w:sz w:val="32"/>
          <w:szCs w:val="32"/>
        </w:rPr>
        <w:t>根据落后产能退出名单，制定分阶段退出计划，严格按照“先落实安全防护措施、后实施关闭”的原则，指导矿山企业制定关闭方案，落实安全防护措施，妥善处置采空区、尾矿库等遗留问题，确保退出过程安全有序，避免引发安全事故和环境问题。完善落后产能退出扶持政策</w:t>
      </w:r>
      <w:r>
        <w:rPr>
          <w:rFonts w:hint="eastAsia" w:eastAsia="仿宋_GB2312"/>
          <w:kern w:val="2"/>
          <w:sz w:val="32"/>
          <w:szCs w:val="32"/>
        </w:rPr>
        <w:t>，</w:t>
      </w:r>
      <w:r>
        <w:rPr>
          <w:rFonts w:eastAsia="仿宋_GB2312"/>
          <w:kern w:val="2"/>
          <w:sz w:val="32"/>
          <w:szCs w:val="32"/>
        </w:rPr>
        <w:t>为保障落后产能矿山顺利退出，制定相应的扶持政策</w:t>
      </w:r>
      <w:r>
        <w:rPr>
          <w:rFonts w:hint="eastAsia" w:eastAsia="仿宋_GB2312"/>
          <w:kern w:val="2"/>
          <w:sz w:val="32"/>
          <w:szCs w:val="32"/>
        </w:rPr>
        <w:t>，</w:t>
      </w:r>
      <w:r>
        <w:rPr>
          <w:rFonts w:eastAsia="仿宋_GB2312"/>
          <w:kern w:val="2"/>
          <w:sz w:val="32"/>
          <w:szCs w:val="32"/>
        </w:rPr>
        <w:t>设立矿山落后产能退出专项补贴资金，对按时完成退出且妥善处置遗留问题的</w:t>
      </w:r>
      <w:r>
        <w:rPr>
          <w:rFonts w:eastAsia="仿宋_GB2312"/>
          <w:sz w:val="32"/>
          <w:szCs w:val="32"/>
        </w:rPr>
        <w:t>矿山</w:t>
      </w:r>
      <w:r>
        <w:rPr>
          <w:rFonts w:eastAsia="仿宋_GB2312"/>
          <w:kern w:val="2"/>
          <w:sz w:val="32"/>
          <w:szCs w:val="32"/>
        </w:rPr>
        <w:t>企业，给予</w:t>
      </w:r>
      <w:r>
        <w:rPr>
          <w:rFonts w:hint="eastAsia" w:eastAsia="仿宋_GB2312"/>
          <w:kern w:val="2"/>
          <w:sz w:val="32"/>
          <w:szCs w:val="32"/>
        </w:rPr>
        <w:t>资金补贴、税收优惠、人员安置等方面的扶持</w:t>
      </w:r>
      <w:r>
        <w:rPr>
          <w:rFonts w:eastAsia="仿宋_GB2312"/>
          <w:kern w:val="2"/>
          <w:sz w:val="32"/>
          <w:szCs w:val="32"/>
        </w:rPr>
        <w:t>，通过完善扶持政策，降低矿山企业退出成本，保障从业人员合法权益，确保落后产能退出工作顺利推进。</w:t>
      </w:r>
    </w:p>
    <w:p w14:paraId="344DBB40">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22" w:name="_Toc218089294"/>
      <w:r>
        <w:rPr>
          <w:rFonts w:hint="eastAsia" w:ascii="Times New Roman" w:hAnsi="Times New Roman" w:eastAsia="楷体_GB2312" w:cs="Times New Roman"/>
          <w:b/>
          <w:bCs/>
          <w:color w:val="auto"/>
          <w:kern w:val="2"/>
          <w:sz w:val="32"/>
          <w:szCs w:val="32"/>
        </w:rPr>
        <w:t>（二）压实责任链条，</w:t>
      </w:r>
      <w:r>
        <w:rPr>
          <w:rFonts w:ascii="Times New Roman" w:hAnsi="Times New Roman" w:eastAsia="楷体_GB2312" w:cs="Times New Roman"/>
          <w:b/>
          <w:bCs/>
          <w:color w:val="auto"/>
          <w:kern w:val="2"/>
          <w:sz w:val="32"/>
          <w:szCs w:val="32"/>
        </w:rPr>
        <w:t>提升依法治安管控效能</w:t>
      </w:r>
      <w:bookmarkEnd w:id="22"/>
    </w:p>
    <w:p w14:paraId="25154484">
      <w:pPr>
        <w:spacing w:line="580" w:lineRule="exact"/>
        <w:ind w:firstLine="643" w:firstLineChars="200"/>
        <w:jc w:val="both"/>
        <w:rPr>
          <w:rFonts w:eastAsia="仿宋_GB2312"/>
          <w:kern w:val="2"/>
          <w:sz w:val="32"/>
          <w:szCs w:val="32"/>
        </w:rPr>
      </w:pPr>
      <w:r>
        <w:rPr>
          <w:rFonts w:hint="eastAsia" w:eastAsia="仿宋_GB2312"/>
          <w:b/>
          <w:bCs/>
          <w:kern w:val="2"/>
          <w:sz w:val="32"/>
          <w:szCs w:val="32"/>
        </w:rPr>
        <w:t>压实领导责任。</w:t>
      </w:r>
      <w:r>
        <w:rPr>
          <w:rFonts w:hint="eastAsia" w:eastAsia="仿宋_GB2312"/>
          <w:kern w:val="2"/>
          <w:sz w:val="32"/>
          <w:szCs w:val="32"/>
        </w:rPr>
        <w:t>党政主要领导要定期研究矿山安全生产工作，解决重大安全生产问题。要按照规定落实领导包保地下矿山和尾矿库安全生产责任制，每年不少于</w:t>
      </w:r>
      <w:r>
        <w:rPr>
          <w:rFonts w:eastAsia="仿宋_GB2312"/>
          <w:kern w:val="2"/>
          <w:sz w:val="32"/>
          <w:szCs w:val="32"/>
        </w:rPr>
        <w:t>2</w:t>
      </w:r>
      <w:r>
        <w:rPr>
          <w:rFonts w:hint="eastAsia" w:eastAsia="仿宋_GB2312"/>
          <w:kern w:val="2"/>
          <w:sz w:val="32"/>
          <w:szCs w:val="32"/>
        </w:rPr>
        <w:t>次对包保企业开展督促检查。</w:t>
      </w:r>
    </w:p>
    <w:p w14:paraId="3BF2539F">
      <w:pPr>
        <w:spacing w:line="580" w:lineRule="exact"/>
        <w:ind w:firstLine="643" w:firstLineChars="200"/>
        <w:jc w:val="both"/>
        <w:rPr>
          <w:rFonts w:eastAsia="仿宋_GB2312"/>
          <w:kern w:val="2"/>
          <w:sz w:val="32"/>
          <w:szCs w:val="32"/>
        </w:rPr>
      </w:pPr>
      <w:r>
        <w:rPr>
          <w:rFonts w:hint="eastAsia" w:eastAsia="仿宋_GB2312"/>
          <w:b/>
          <w:bCs/>
          <w:kern w:val="2"/>
          <w:sz w:val="32"/>
          <w:szCs w:val="32"/>
        </w:rPr>
        <w:t>压实监管责任。</w:t>
      </w:r>
      <w:r>
        <w:rPr>
          <w:rFonts w:hint="eastAsia" w:eastAsia="仿宋_GB2312"/>
          <w:kern w:val="2"/>
          <w:sz w:val="32"/>
          <w:szCs w:val="32"/>
        </w:rPr>
        <w:t>定期组织开展矿山重大事故隐患动态清零行动，落实专家指导服务全覆盖。县级有关单位要按照各自职责，切实加强矿山企业、采掘施工企业、矿山运输队伍的安全监管，压实涉矿各相关部门的监管职责。</w:t>
      </w:r>
    </w:p>
    <w:p w14:paraId="5A7EC22B">
      <w:pPr>
        <w:spacing w:line="580" w:lineRule="exact"/>
        <w:ind w:firstLine="643" w:firstLineChars="200"/>
        <w:jc w:val="both"/>
        <w:rPr>
          <w:rFonts w:eastAsia="仿宋_GB2312"/>
          <w:b/>
          <w:bCs/>
          <w:kern w:val="2"/>
          <w:sz w:val="32"/>
          <w:szCs w:val="32"/>
        </w:rPr>
      </w:pPr>
      <w:r>
        <w:rPr>
          <w:rFonts w:hint="eastAsia" w:eastAsia="仿宋_GB2312"/>
          <w:b/>
          <w:bCs/>
          <w:kern w:val="2"/>
          <w:sz w:val="32"/>
          <w:szCs w:val="32"/>
        </w:rPr>
        <w:t>压实企业责任。</w:t>
      </w:r>
      <w:r>
        <w:rPr>
          <w:rFonts w:hint="eastAsia" w:eastAsia="仿宋_GB2312"/>
          <w:kern w:val="2"/>
          <w:sz w:val="32"/>
          <w:szCs w:val="32"/>
        </w:rPr>
        <w:t>健全内部责任体系，严格落实主要负责人“第一责任人”职责，配齐配强符合资质要求的“五职矿长”及“五科技术人员”，将安全责任细化分解至采矿、爆破、运输等各环节及每个从业人员，纳入绩效考核与薪酬挂钩，确保“人人有责、人人尽责”。主动落实风险防控与隐患治理主体责任，常态化开展重大事故隐患自查自改，每月由主要负责人牵头组织隐患排查，建立台账并严格闭环整改，积极配合开展重大事故隐患动态清零行动与专家指导服务；强化从业人员安全应急能力建设，定期开展突水、坍塌、中毒窒息等场景的应急演练与安全培训，配齐应急物资与装备，提升一线人员风险辨识、自救互救能力。针对外包作业、爆破施工、运输环节等关键领域，要严格落实对外包单位、合作队伍的安全管理责任，签订安全协议明确权责，定期检查其安全措施落实情况，坚决杜绝“以包代管”“包而不管”，切实筑牢企业安全生产第一道防线。</w:t>
      </w:r>
    </w:p>
    <w:p w14:paraId="4BEBC96E">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23" w:name="_Toc218089295"/>
      <w:r>
        <w:rPr>
          <w:rFonts w:hint="eastAsia" w:ascii="Times New Roman" w:hAnsi="Times New Roman" w:eastAsia="楷体_GB2312" w:cs="Times New Roman"/>
          <w:b/>
          <w:bCs/>
          <w:color w:val="auto"/>
          <w:kern w:val="2"/>
          <w:sz w:val="32"/>
          <w:szCs w:val="32"/>
        </w:rPr>
        <w:t>（三）推进智能赋能，</w:t>
      </w:r>
      <w:r>
        <w:rPr>
          <w:rFonts w:ascii="Times New Roman" w:hAnsi="Times New Roman" w:eastAsia="楷体_GB2312" w:cs="Times New Roman"/>
          <w:b/>
          <w:bCs/>
          <w:color w:val="auto"/>
          <w:kern w:val="2"/>
          <w:sz w:val="32"/>
          <w:szCs w:val="32"/>
        </w:rPr>
        <w:t>强化科技支撑保障能力</w:t>
      </w:r>
      <w:bookmarkEnd w:id="23"/>
    </w:p>
    <w:p w14:paraId="2F9B6AB0">
      <w:pPr>
        <w:spacing w:line="580" w:lineRule="exact"/>
        <w:ind w:firstLine="643" w:firstLineChars="200"/>
        <w:jc w:val="both"/>
        <w:rPr>
          <w:rFonts w:eastAsia="仿宋_GB2312"/>
          <w:kern w:val="2"/>
          <w:sz w:val="32"/>
          <w:szCs w:val="32"/>
        </w:rPr>
      </w:pPr>
      <w:r>
        <w:rPr>
          <w:rFonts w:eastAsia="仿宋_GB2312"/>
          <w:b/>
          <w:bCs/>
          <w:kern w:val="2"/>
          <w:sz w:val="32"/>
          <w:szCs w:val="32"/>
        </w:rPr>
        <w:t>构建智能监测预警体系</w:t>
      </w:r>
      <w:r>
        <w:rPr>
          <w:rFonts w:hint="eastAsia" w:eastAsia="仿宋_GB2312"/>
          <w:b/>
          <w:bCs/>
          <w:kern w:val="2"/>
          <w:sz w:val="32"/>
          <w:szCs w:val="32"/>
        </w:rPr>
        <w:t>。</w:t>
      </w:r>
      <w:r>
        <w:rPr>
          <w:rFonts w:eastAsia="仿宋_GB2312"/>
          <w:kern w:val="2"/>
          <w:sz w:val="32"/>
          <w:szCs w:val="32"/>
        </w:rPr>
        <w:t>推动矿山重点区域、关键环节智能化改造，</w:t>
      </w:r>
      <w:r>
        <w:rPr>
          <w:rFonts w:hint="eastAsia" w:eastAsia="仿宋_GB2312"/>
          <w:kern w:val="2"/>
          <w:sz w:val="32"/>
          <w:szCs w:val="32"/>
        </w:rPr>
        <w:t>地下矿山全面实施井下“六大系统”实时监测预警功能</w:t>
      </w:r>
      <w:r>
        <w:rPr>
          <w:rFonts w:eastAsia="仿宋_GB2312"/>
          <w:kern w:val="2"/>
          <w:sz w:val="32"/>
          <w:szCs w:val="32"/>
        </w:rPr>
        <w:t>，露天矿山部署边坡变形智能监测系统，尾矿库加装水位、坝体位移、浸润线深度等实时监测装置，所有监测数据接入县级矿山安全监管平台，实现风险动态感知、自动预警，提前规避</w:t>
      </w:r>
      <w:r>
        <w:rPr>
          <w:rFonts w:hint="eastAsia" w:eastAsia="仿宋_GB2312"/>
          <w:kern w:val="2"/>
          <w:sz w:val="32"/>
          <w:szCs w:val="32"/>
        </w:rPr>
        <w:t>各类风险</w:t>
      </w:r>
      <w:r>
        <w:rPr>
          <w:rFonts w:eastAsia="仿宋_GB2312"/>
          <w:kern w:val="2"/>
          <w:sz w:val="32"/>
          <w:szCs w:val="32"/>
        </w:rPr>
        <w:t>隐患。</w:t>
      </w:r>
    </w:p>
    <w:p w14:paraId="7858A0B9">
      <w:pPr>
        <w:spacing w:line="580" w:lineRule="exact"/>
        <w:ind w:firstLine="643" w:firstLineChars="200"/>
        <w:jc w:val="both"/>
        <w:rPr>
          <w:rFonts w:eastAsia="仿宋_GB2312"/>
          <w:kern w:val="2"/>
          <w:sz w:val="32"/>
          <w:szCs w:val="32"/>
        </w:rPr>
      </w:pPr>
      <w:r>
        <w:rPr>
          <w:rFonts w:hint="eastAsia" w:eastAsia="仿宋_GB2312"/>
          <w:b/>
          <w:bCs/>
          <w:kern w:val="2"/>
          <w:sz w:val="32"/>
          <w:szCs w:val="32"/>
        </w:rPr>
        <w:t>推动矿山开采智能化。</w:t>
      </w:r>
      <w:r>
        <w:rPr>
          <w:rFonts w:eastAsia="仿宋_GB2312"/>
          <w:kern w:val="2"/>
          <w:sz w:val="32"/>
          <w:szCs w:val="32"/>
        </w:rPr>
        <w:t>鼓励</w:t>
      </w:r>
      <w:r>
        <w:rPr>
          <w:rFonts w:hint="eastAsia" w:eastAsia="仿宋_GB2312"/>
          <w:kern w:val="2"/>
          <w:sz w:val="32"/>
          <w:szCs w:val="32"/>
        </w:rPr>
        <w:t>地下</w:t>
      </w:r>
      <w:r>
        <w:rPr>
          <w:rFonts w:eastAsia="仿宋_GB2312"/>
          <w:kern w:val="2"/>
          <w:sz w:val="32"/>
          <w:szCs w:val="32"/>
        </w:rPr>
        <w:t>矿山引入</w:t>
      </w:r>
      <w:r>
        <w:rPr>
          <w:rFonts w:hint="eastAsia" w:eastAsia="仿宋_GB2312"/>
          <w:kern w:val="2"/>
          <w:sz w:val="32"/>
          <w:szCs w:val="32"/>
        </w:rPr>
        <w:t>遥控铲车</w:t>
      </w:r>
      <w:r>
        <w:rPr>
          <w:rFonts w:eastAsia="仿宋_GB2312"/>
          <w:kern w:val="2"/>
          <w:sz w:val="32"/>
          <w:szCs w:val="32"/>
        </w:rPr>
        <w:t>、智能</w:t>
      </w:r>
      <w:r>
        <w:rPr>
          <w:rFonts w:hint="eastAsia" w:eastAsia="仿宋_GB2312"/>
          <w:kern w:val="2"/>
          <w:sz w:val="32"/>
          <w:szCs w:val="32"/>
        </w:rPr>
        <w:t>凿岩台车</w:t>
      </w:r>
      <w:r>
        <w:rPr>
          <w:rFonts w:eastAsia="仿宋_GB2312"/>
          <w:kern w:val="2"/>
          <w:sz w:val="32"/>
          <w:szCs w:val="32"/>
        </w:rPr>
        <w:t>、无人运输车辆等装备，减少井下、高风险区域作业人员数量</w:t>
      </w:r>
      <w:r>
        <w:rPr>
          <w:rFonts w:hint="eastAsia" w:eastAsia="仿宋_GB2312"/>
          <w:kern w:val="2"/>
          <w:sz w:val="32"/>
          <w:szCs w:val="32"/>
        </w:rPr>
        <w:t>；露天矿山引入无人矿卡、无人铲装工作面，减少单个采剥作业面人员数量</w:t>
      </w:r>
      <w:r>
        <w:rPr>
          <w:rFonts w:eastAsia="仿宋_GB2312"/>
          <w:kern w:val="2"/>
          <w:sz w:val="32"/>
          <w:szCs w:val="32"/>
        </w:rPr>
        <w:t>；</w:t>
      </w:r>
      <w:r>
        <w:rPr>
          <w:rFonts w:hint="eastAsia" w:eastAsia="仿宋_GB2312"/>
          <w:kern w:val="2"/>
          <w:sz w:val="32"/>
          <w:szCs w:val="32"/>
        </w:rPr>
        <w:t>全县矿山按照“164”体系要求进行建设，建成1个三维地质孪生模型，越界开采预警、智能卡车调度、全方位视频监控、粉尘实时监测、人员车辆实时定位和自动化智能配矿等6套系统，数据集成、决策服务、智能管控和场景应用等4大平台</w:t>
      </w:r>
      <w:r>
        <w:rPr>
          <w:rFonts w:eastAsia="仿宋_GB2312"/>
          <w:kern w:val="2"/>
          <w:sz w:val="32"/>
          <w:szCs w:val="32"/>
        </w:rPr>
        <w:t>，对开采、爆破、运输等</w:t>
      </w:r>
      <w:r>
        <w:rPr>
          <w:rFonts w:hint="eastAsia" w:eastAsia="仿宋_GB2312"/>
          <w:kern w:val="2"/>
          <w:sz w:val="32"/>
          <w:szCs w:val="32"/>
        </w:rPr>
        <w:t>主要作业环节</w:t>
      </w:r>
      <w:r>
        <w:rPr>
          <w:rFonts w:eastAsia="仿宋_GB2312"/>
          <w:kern w:val="2"/>
          <w:sz w:val="32"/>
          <w:szCs w:val="32"/>
        </w:rPr>
        <w:t>进行数字化</w:t>
      </w:r>
      <w:r>
        <w:rPr>
          <w:rFonts w:hint="eastAsia" w:eastAsia="仿宋_GB2312"/>
          <w:kern w:val="2"/>
          <w:sz w:val="32"/>
          <w:szCs w:val="32"/>
        </w:rPr>
        <w:t>、智能化</w:t>
      </w:r>
      <w:r>
        <w:rPr>
          <w:rFonts w:eastAsia="仿宋_GB2312"/>
          <w:kern w:val="2"/>
          <w:sz w:val="32"/>
          <w:szCs w:val="32"/>
        </w:rPr>
        <w:t>管控，通过精准调度降低人为</w:t>
      </w:r>
      <w:r>
        <w:rPr>
          <w:rFonts w:hint="eastAsia" w:eastAsia="仿宋_GB2312"/>
          <w:kern w:val="2"/>
          <w:sz w:val="32"/>
          <w:szCs w:val="32"/>
        </w:rPr>
        <w:t>操作失误引发的安全风险，依托平台分析生产数据，优化作业流程，保障生产安全，培育智能化、机械化示范矿山。</w:t>
      </w:r>
    </w:p>
    <w:p w14:paraId="7B1AE1A6">
      <w:pPr>
        <w:spacing w:line="580" w:lineRule="exact"/>
        <w:ind w:firstLine="643" w:firstLineChars="200"/>
        <w:jc w:val="both"/>
        <w:rPr>
          <w:rFonts w:eastAsia="仿宋_GB2312"/>
          <w:kern w:val="2"/>
          <w:sz w:val="32"/>
          <w:szCs w:val="32"/>
        </w:rPr>
      </w:pPr>
      <w:r>
        <w:rPr>
          <w:rFonts w:eastAsia="仿宋_GB2312"/>
          <w:b/>
          <w:bCs/>
          <w:kern w:val="2"/>
          <w:sz w:val="32"/>
          <w:szCs w:val="32"/>
        </w:rPr>
        <w:t>完善智能应急处置机制</w:t>
      </w:r>
      <w:r>
        <w:rPr>
          <w:rFonts w:hint="eastAsia" w:eastAsia="仿宋_GB2312"/>
          <w:b/>
          <w:bCs/>
          <w:kern w:val="2"/>
          <w:sz w:val="32"/>
          <w:szCs w:val="32"/>
        </w:rPr>
        <w:t>。</w:t>
      </w:r>
      <w:r>
        <w:rPr>
          <w:rFonts w:eastAsia="仿宋_GB2312"/>
          <w:kern w:val="2"/>
          <w:sz w:val="32"/>
          <w:szCs w:val="32"/>
        </w:rPr>
        <w:t>支持矿山建设智能应急指挥系统，整合应急物资储备信息、人员定位数据、逃生路线规划等功能，一旦发生突发事故，可快速定位被困人员、调度应急资源；开发应急演练数字化系统，模拟突水、中毒窒息等场景，组织从业人员开展沉浸式培训，提升应急处置熟练度，同时利用智能设备实现事故现场实时画面传输，为远程指挥决策提供支撑。</w:t>
      </w:r>
    </w:p>
    <w:p w14:paraId="514F94AA">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24" w:name="_Toc218089296"/>
      <w:r>
        <w:rPr>
          <w:rFonts w:hint="eastAsia" w:ascii="Times New Roman" w:hAnsi="Times New Roman" w:eastAsia="楷体_GB2312" w:cs="Times New Roman"/>
          <w:b/>
          <w:bCs/>
          <w:color w:val="auto"/>
          <w:kern w:val="2"/>
          <w:sz w:val="32"/>
          <w:szCs w:val="32"/>
        </w:rPr>
        <w:t>（四）深化灾害治理，提升</w:t>
      </w:r>
      <w:r>
        <w:rPr>
          <w:rFonts w:ascii="Times New Roman" w:hAnsi="Times New Roman" w:eastAsia="楷体_GB2312" w:cs="Times New Roman"/>
          <w:b/>
          <w:bCs/>
          <w:color w:val="auto"/>
          <w:kern w:val="2"/>
          <w:sz w:val="32"/>
          <w:szCs w:val="32"/>
        </w:rPr>
        <w:t>防灾减灾实战水平</w:t>
      </w:r>
      <w:bookmarkEnd w:id="24"/>
    </w:p>
    <w:p w14:paraId="7507253B">
      <w:pPr>
        <w:spacing w:line="580" w:lineRule="exact"/>
        <w:ind w:firstLine="643" w:firstLineChars="200"/>
        <w:jc w:val="both"/>
        <w:rPr>
          <w:rFonts w:eastAsia="仿宋_GB2312"/>
          <w:kern w:val="2"/>
          <w:sz w:val="32"/>
          <w:szCs w:val="32"/>
        </w:rPr>
      </w:pPr>
      <w:r>
        <w:rPr>
          <w:rFonts w:eastAsia="仿宋_GB2312"/>
          <w:b/>
          <w:bCs/>
          <w:kern w:val="2"/>
          <w:sz w:val="32"/>
          <w:szCs w:val="32"/>
        </w:rPr>
        <w:t>常态化开展灾害风险精准排查</w:t>
      </w:r>
      <w:r>
        <w:rPr>
          <w:rFonts w:hint="eastAsia" w:eastAsia="仿宋_GB2312"/>
          <w:b/>
          <w:bCs/>
          <w:kern w:val="2"/>
          <w:sz w:val="32"/>
          <w:szCs w:val="32"/>
        </w:rPr>
        <w:t>。</w:t>
      </w:r>
      <w:r>
        <w:rPr>
          <w:rFonts w:eastAsia="仿宋_GB2312"/>
          <w:kern w:val="2"/>
          <w:sz w:val="32"/>
          <w:szCs w:val="32"/>
        </w:rPr>
        <w:t>聚焦非煤矿山灾害高发领域，每年汛期前、冬季冻融期前组织开展2次全域灾害风险大排查，地下矿山重点核查采空区稳定性、井下排水系统可靠性，露天矿山排查边坡防滑坡、防坍塌措施落实情况，尾矿库检查坝体防渗、排洪设施完好度，建立“一矿一策”风险台账，对高风险点位挂牌督办，确保风险早识别、早管控。</w:t>
      </w:r>
    </w:p>
    <w:p w14:paraId="2E2C42B8">
      <w:pPr>
        <w:spacing w:line="580" w:lineRule="exact"/>
        <w:ind w:firstLine="643" w:firstLineChars="200"/>
        <w:jc w:val="both"/>
        <w:rPr>
          <w:rFonts w:eastAsia="仿宋_GB2312"/>
          <w:kern w:val="2"/>
          <w:sz w:val="32"/>
          <w:szCs w:val="32"/>
        </w:rPr>
      </w:pPr>
      <w:r>
        <w:rPr>
          <w:rFonts w:eastAsia="仿宋_GB2312"/>
          <w:b/>
          <w:bCs/>
          <w:kern w:val="2"/>
          <w:sz w:val="32"/>
          <w:szCs w:val="32"/>
        </w:rPr>
        <w:t>推进重点灾害治理工程落地</w:t>
      </w:r>
      <w:r>
        <w:rPr>
          <w:rFonts w:hint="eastAsia" w:eastAsia="仿宋_GB2312"/>
          <w:b/>
          <w:bCs/>
          <w:kern w:val="2"/>
          <w:sz w:val="32"/>
          <w:szCs w:val="32"/>
        </w:rPr>
        <w:t>。</w:t>
      </w:r>
      <w:r>
        <w:rPr>
          <w:rFonts w:eastAsia="仿宋_GB2312"/>
          <w:kern w:val="2"/>
          <w:sz w:val="32"/>
          <w:szCs w:val="32"/>
        </w:rPr>
        <w:t>加快尾矿库闭库治理进度，对停用且存在溃坝风险的尾矿库，优先实施坝体加固、防渗处理、覆土绿化工程，2026年底前完成全部高风险尾矿库治理；针对地下矿山采空区，推广充填采矿法等安全治理技术，逐步消除采空区坍塌隐患；对露天矿山不稳定边坡，采取削坡减载、锚杆支护等工程措施，从源头降低灾害发生概率。</w:t>
      </w:r>
    </w:p>
    <w:p w14:paraId="7308511A">
      <w:pPr>
        <w:spacing w:line="580" w:lineRule="exact"/>
        <w:ind w:firstLine="643" w:firstLineChars="200"/>
        <w:jc w:val="both"/>
        <w:rPr>
          <w:rFonts w:eastAsia="仿宋_GB2312"/>
          <w:kern w:val="2"/>
          <w:sz w:val="32"/>
          <w:szCs w:val="32"/>
        </w:rPr>
      </w:pPr>
      <w:r>
        <w:rPr>
          <w:rFonts w:eastAsia="仿宋_GB2312"/>
          <w:b/>
          <w:bCs/>
          <w:kern w:val="2"/>
          <w:sz w:val="32"/>
          <w:szCs w:val="32"/>
        </w:rPr>
        <w:t>强化防灾减灾应急实战演练</w:t>
      </w:r>
      <w:r>
        <w:rPr>
          <w:rFonts w:hint="eastAsia" w:eastAsia="仿宋_GB2312"/>
          <w:b/>
          <w:bCs/>
          <w:kern w:val="2"/>
          <w:sz w:val="32"/>
          <w:szCs w:val="32"/>
        </w:rPr>
        <w:t>。</w:t>
      </w:r>
      <w:r>
        <w:rPr>
          <w:rFonts w:eastAsia="仿宋_GB2312"/>
          <w:kern w:val="2"/>
          <w:sz w:val="32"/>
          <w:szCs w:val="32"/>
        </w:rPr>
        <w:t>督促矿山企业每季度开展1次针对性灾害应急演练，地下矿山重点演练突水、中毒窒息事故的逃生救援，露天矿山侧重边坡滑坡、泥石流应急处置，尾矿库聚焦溃坝事故的人员转移与抢险；每年组织1次跨部门、跨矿山的联合应急演练，模拟极端天气下的灾害连锁反应，提升多主体协同处置能力，确保演练“真演实练、以练促战”。</w:t>
      </w:r>
    </w:p>
    <w:p w14:paraId="211C3E7E">
      <w:pPr>
        <w:spacing w:line="580" w:lineRule="exact"/>
        <w:ind w:firstLine="643" w:firstLineChars="200"/>
        <w:jc w:val="both"/>
        <w:rPr>
          <w:rFonts w:eastAsia="仿宋_GB2312"/>
          <w:kern w:val="2"/>
          <w:sz w:val="32"/>
          <w:szCs w:val="32"/>
        </w:rPr>
      </w:pPr>
      <w:r>
        <w:rPr>
          <w:rFonts w:eastAsia="仿宋_GB2312"/>
          <w:b/>
          <w:bCs/>
          <w:kern w:val="2"/>
          <w:sz w:val="32"/>
          <w:szCs w:val="32"/>
        </w:rPr>
        <w:t>升级灾害监测预警技术手段</w:t>
      </w:r>
      <w:r>
        <w:rPr>
          <w:rFonts w:hint="eastAsia" w:eastAsia="仿宋_GB2312"/>
          <w:b/>
          <w:bCs/>
          <w:kern w:val="2"/>
          <w:sz w:val="32"/>
          <w:szCs w:val="32"/>
        </w:rPr>
        <w:t>。</w:t>
      </w:r>
      <w:r>
        <w:rPr>
          <w:rFonts w:eastAsia="仿宋_GB2312"/>
          <w:kern w:val="2"/>
          <w:sz w:val="32"/>
          <w:szCs w:val="32"/>
        </w:rPr>
        <w:t>整合气象、地质、矿山监测数据，搭建县级矿山灾害综合预警平台，对暴雨、高温等极端天气提前发布矿山专项预警信息；推动矿山加装灾害智能监测设备，地下矿山安装井下水位自动监测仪，露天矿山部署边坡雷达监测系统，尾矿库配备雨量、水位双预警装置，实现灾害风险“实时监测、精准预警、快速响应”，最大限度减少灾害损失。</w:t>
      </w:r>
    </w:p>
    <w:p w14:paraId="53963EEA">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25" w:name="_Toc218089297"/>
      <w:r>
        <w:rPr>
          <w:rFonts w:hint="eastAsia" w:ascii="Times New Roman" w:hAnsi="Times New Roman" w:eastAsia="楷体_GB2312" w:cs="Times New Roman"/>
          <w:b/>
          <w:bCs/>
          <w:color w:val="auto"/>
          <w:kern w:val="2"/>
          <w:sz w:val="32"/>
          <w:szCs w:val="32"/>
        </w:rPr>
        <w:t>（五）加强人才培育，</w:t>
      </w:r>
      <w:r>
        <w:rPr>
          <w:rFonts w:ascii="Times New Roman" w:hAnsi="Times New Roman" w:eastAsia="楷体_GB2312" w:cs="Times New Roman"/>
          <w:b/>
          <w:bCs/>
          <w:color w:val="auto"/>
          <w:kern w:val="2"/>
          <w:sz w:val="32"/>
          <w:szCs w:val="32"/>
        </w:rPr>
        <w:t>夯实安全基础保障</w:t>
      </w:r>
      <w:r>
        <w:rPr>
          <w:rFonts w:hint="eastAsia" w:ascii="Times New Roman" w:hAnsi="Times New Roman" w:eastAsia="楷体_GB2312" w:cs="Times New Roman"/>
          <w:b/>
          <w:bCs/>
          <w:color w:val="auto"/>
          <w:kern w:val="2"/>
          <w:sz w:val="32"/>
          <w:szCs w:val="32"/>
        </w:rPr>
        <w:t>能</w:t>
      </w:r>
      <w:r>
        <w:rPr>
          <w:rFonts w:ascii="Times New Roman" w:hAnsi="Times New Roman" w:eastAsia="楷体_GB2312" w:cs="Times New Roman"/>
          <w:b/>
          <w:bCs/>
          <w:color w:val="auto"/>
          <w:kern w:val="2"/>
          <w:sz w:val="32"/>
          <w:szCs w:val="32"/>
        </w:rPr>
        <w:t>力</w:t>
      </w:r>
      <w:bookmarkEnd w:id="25"/>
    </w:p>
    <w:p w14:paraId="45F87A5D">
      <w:pPr>
        <w:spacing w:line="580" w:lineRule="exact"/>
        <w:ind w:firstLine="643" w:firstLineChars="200"/>
        <w:jc w:val="both"/>
        <w:rPr>
          <w:rFonts w:eastAsia="仿宋_GB2312"/>
          <w:kern w:val="2"/>
          <w:sz w:val="32"/>
          <w:szCs w:val="32"/>
        </w:rPr>
      </w:pPr>
      <w:r>
        <w:rPr>
          <w:rFonts w:hint="eastAsia" w:eastAsia="仿宋_GB2312"/>
          <w:b/>
          <w:bCs/>
          <w:kern w:val="2"/>
          <w:sz w:val="32"/>
          <w:szCs w:val="32"/>
        </w:rPr>
        <w:t>建强矿山企业人才梯队。</w:t>
      </w:r>
      <w:r>
        <w:rPr>
          <w:rFonts w:hint="eastAsia" w:eastAsia="仿宋_GB2312"/>
          <w:kern w:val="2"/>
          <w:sz w:val="32"/>
          <w:szCs w:val="32"/>
        </w:rPr>
        <w:t>督促矿山企业制定“全员安全能力提升计划”，针对不同岗位精准施策，对“五职矿长”等管理岗位，严格落实学历、专业、矿山工作经验等资质要求，通过“以干代训+专题研修”结合方式，每年组织不少于80学时的安全管理、技术决策培训，确保满足法定履职标准。对一线作业人员，聚焦突水、坍塌、中毒窒息等风险辨识与应急处置，每季度开展实操培训与考核，将考核结果纳入个人绩效，同步建立“老带新”师徒制，提升新员工安全操作熟练度，筑牢企业安全人才根基。研究出台矿山专业技术人才引进政策，推动矿山企业引进专业技术人才。</w:t>
      </w:r>
    </w:p>
    <w:p w14:paraId="687B1614">
      <w:pPr>
        <w:spacing w:line="580" w:lineRule="exact"/>
        <w:ind w:firstLine="643" w:firstLineChars="200"/>
        <w:jc w:val="both"/>
        <w:rPr>
          <w:rFonts w:eastAsia="仿宋_GB2312"/>
          <w:kern w:val="2"/>
          <w:sz w:val="32"/>
          <w:szCs w:val="32"/>
        </w:rPr>
      </w:pPr>
      <w:r>
        <w:rPr>
          <w:rFonts w:hint="eastAsia" w:eastAsia="仿宋_GB2312"/>
          <w:b/>
          <w:bCs/>
          <w:kern w:val="2"/>
          <w:sz w:val="32"/>
          <w:szCs w:val="32"/>
        </w:rPr>
        <w:t>提升监管干部专业能力。</w:t>
      </w:r>
      <w:r>
        <w:rPr>
          <w:rFonts w:hint="eastAsia" w:eastAsia="仿宋_GB2312"/>
          <w:kern w:val="2"/>
          <w:sz w:val="32"/>
          <w:szCs w:val="32"/>
        </w:rPr>
        <w:t>围绕非煤地下矿山、尾矿库等监管重点，建立监管干部“常态化培训+实战练兵”机制，每年组织2次全流程监管业务培训，邀请矿山安全专家、行业骨干授课，重点讲解智能监测设备应用、重大隐患排查技巧、灾害应急处置流程等内容；每半年开展1次“监管现场实训”，组织干部深入矿山井下、尾矿库等关键区域，手把手教学风险识别与执法检查要点，同时选派优秀干部参与跨区域联合执法，学习先进监管经验，打造“懂技术、会监管、善处置”的专业化监管队伍。</w:t>
      </w:r>
    </w:p>
    <w:p w14:paraId="550AE45E">
      <w:pPr>
        <w:spacing w:line="580" w:lineRule="exact"/>
        <w:ind w:firstLine="643" w:firstLineChars="200"/>
        <w:jc w:val="both"/>
        <w:rPr>
          <w:rFonts w:eastAsia="仿宋_GB2312"/>
          <w:kern w:val="2"/>
          <w:sz w:val="32"/>
          <w:szCs w:val="32"/>
        </w:rPr>
      </w:pPr>
      <w:r>
        <w:rPr>
          <w:rFonts w:hint="eastAsia" w:eastAsia="仿宋_GB2312"/>
          <w:b/>
          <w:bCs/>
          <w:kern w:val="2"/>
          <w:sz w:val="32"/>
          <w:szCs w:val="32"/>
        </w:rPr>
        <w:t>引入高校科研机构技术支撑。</w:t>
      </w:r>
      <w:r>
        <w:rPr>
          <w:rFonts w:hint="eastAsia" w:eastAsia="仿宋_GB2312"/>
          <w:kern w:val="2"/>
          <w:sz w:val="32"/>
          <w:szCs w:val="32"/>
        </w:rPr>
        <w:t>深化与设有矿业工程、安全工程等专业的高校、科研院所合作，建立“产学研用”协同机制。委托高校为矿山定制专项培训课程，定向培养具备矿山开采、矿山机电、矿井通风及矿山安全等专业的技术人才，每年输送不少于20名矿山技术骨干参加高校研修；邀请专业科研机构专家入驻矿山，开展“一对一”技术指导，帮助企业解决矿山安全管理、采空区治理、智能监测系统搭建等技术难题，同时联合开展矿山安全课题研究，推动成果转化，以专业力量弥补企业技术短板。</w:t>
      </w:r>
    </w:p>
    <w:p w14:paraId="1DE7C198">
      <w:pPr>
        <w:spacing w:line="580" w:lineRule="exact"/>
        <w:ind w:firstLine="643" w:firstLineChars="200"/>
        <w:jc w:val="both"/>
        <w:rPr>
          <w:rFonts w:eastAsia="仿宋_GB2312"/>
          <w:kern w:val="2"/>
          <w:sz w:val="32"/>
          <w:szCs w:val="32"/>
        </w:rPr>
      </w:pPr>
      <w:r>
        <w:rPr>
          <w:rFonts w:hint="eastAsia" w:eastAsia="仿宋_GB2312"/>
          <w:b/>
          <w:bCs/>
          <w:kern w:val="2"/>
          <w:sz w:val="32"/>
          <w:szCs w:val="32"/>
        </w:rPr>
        <w:t>发挥第三方机构服务作用。</w:t>
      </w:r>
      <w:r>
        <w:rPr>
          <w:rFonts w:hint="eastAsia" w:eastAsia="仿宋_GB2312"/>
          <w:kern w:val="2"/>
          <w:sz w:val="32"/>
          <w:szCs w:val="32"/>
        </w:rPr>
        <w:t>规范引入第三方安全技术服务，鼓励开展定制化安全生产社会化服务，构建“政府引导、企业自主、机构服务”的协同模式。2030年底前，新增一处矿山安全培训教育机构，协助监管部门开展干部业务培训，提供模拟执法场景、案例教学素材等支持，通过专业化服务，为矿山安全人才培育与能力提升提供多元保障。</w:t>
      </w:r>
    </w:p>
    <w:p w14:paraId="5EFA96B8">
      <w:pPr>
        <w:pStyle w:val="2"/>
        <w:spacing w:before="0" w:after="0" w:line="580" w:lineRule="exact"/>
        <w:ind w:firstLine="640" w:firstLineChars="200"/>
        <w:jc w:val="both"/>
        <w:rPr>
          <w:rFonts w:ascii="Times New Roman" w:hAnsi="Times New Roman" w:eastAsia="黑体" w:cs="Times New Roman"/>
          <w:color w:val="auto"/>
          <w:kern w:val="44"/>
          <w:sz w:val="32"/>
          <w:szCs w:val="32"/>
        </w:rPr>
      </w:pPr>
      <w:bookmarkStart w:id="26" w:name="_Toc218089298"/>
      <w:r>
        <w:rPr>
          <w:rFonts w:hint="eastAsia" w:ascii="Times New Roman" w:hAnsi="Times New Roman" w:eastAsia="黑体" w:cs="Times New Roman"/>
          <w:color w:val="auto"/>
          <w:kern w:val="44"/>
          <w:sz w:val="32"/>
          <w:szCs w:val="32"/>
        </w:rPr>
        <w:t>四</w:t>
      </w:r>
      <w:r>
        <w:rPr>
          <w:rFonts w:ascii="Times New Roman" w:hAnsi="Times New Roman" w:eastAsia="黑体" w:cs="Times New Roman"/>
          <w:color w:val="auto"/>
          <w:kern w:val="44"/>
          <w:sz w:val="32"/>
          <w:szCs w:val="32"/>
        </w:rPr>
        <w:t>、重</w:t>
      </w:r>
      <w:r>
        <w:rPr>
          <w:rFonts w:hint="eastAsia" w:ascii="Times New Roman" w:hAnsi="Times New Roman" w:eastAsia="黑体" w:cs="Times New Roman"/>
          <w:color w:val="auto"/>
          <w:kern w:val="44"/>
          <w:sz w:val="32"/>
          <w:szCs w:val="32"/>
        </w:rPr>
        <w:t>大工程</w:t>
      </w:r>
      <w:bookmarkEnd w:id="26"/>
    </w:p>
    <w:p w14:paraId="4E74FB04">
      <w:pPr>
        <w:pStyle w:val="3"/>
        <w:spacing w:before="0" w:after="0" w:line="580" w:lineRule="exact"/>
        <w:ind w:firstLine="643" w:firstLineChars="200"/>
        <w:jc w:val="both"/>
        <w:rPr>
          <w:rFonts w:ascii="Times New Roman" w:hAnsi="Times New Roman" w:eastAsia="楷体_GB2312" w:cs="Times New Roman"/>
          <w:b/>
          <w:bCs/>
          <w:color w:val="auto"/>
          <w:sz w:val="32"/>
          <w:szCs w:val="32"/>
        </w:rPr>
      </w:pPr>
      <w:bookmarkStart w:id="27" w:name="_Toc218089299"/>
      <w:bookmarkStart w:id="28" w:name="OLE_LINK6"/>
      <w:r>
        <w:rPr>
          <w:rFonts w:ascii="Times New Roman" w:hAnsi="Times New Roman" w:eastAsia="楷体_GB2312" w:cs="Times New Roman"/>
          <w:b/>
          <w:bCs/>
          <w:color w:val="auto"/>
          <w:kern w:val="2"/>
          <w:sz w:val="32"/>
          <w:szCs w:val="32"/>
        </w:rPr>
        <w:t>（一）</w:t>
      </w:r>
      <w:r>
        <w:rPr>
          <w:rFonts w:hint="eastAsia" w:ascii="Times New Roman" w:hAnsi="Times New Roman" w:eastAsia="楷体_GB2312" w:cs="Times New Roman"/>
          <w:b/>
          <w:bCs/>
          <w:color w:val="auto"/>
          <w:sz w:val="32"/>
          <w:szCs w:val="32"/>
        </w:rPr>
        <w:t>“三个一批”工程</w:t>
      </w:r>
      <w:bookmarkEnd w:id="27"/>
    </w:p>
    <w:p w14:paraId="78CEB10D">
      <w:pPr>
        <w:spacing w:line="580" w:lineRule="exact"/>
        <w:ind w:firstLine="640" w:firstLineChars="200"/>
        <w:jc w:val="both"/>
        <w:rPr>
          <w:rFonts w:eastAsia="仿宋_GB2312"/>
          <w:kern w:val="2"/>
          <w:sz w:val="32"/>
          <w:szCs w:val="32"/>
        </w:rPr>
      </w:pPr>
      <w:r>
        <w:rPr>
          <w:rFonts w:eastAsia="仿宋_GB2312"/>
          <w:kern w:val="2"/>
          <w:sz w:val="32"/>
          <w:szCs w:val="32"/>
        </w:rPr>
        <w:t>围绕矿山产业结构优化与安全基础强化，通过提升改造、整合优化、淘汰关闭 “三个一批” 举措，推动矿山规模化发展、机械化升级、安全化运营，淘汰落后产能，消除安全互扰隐患，从源头提升矿山本质安全水平，构建布局合理、管理规范、风险可控的矿山产业格局。</w:t>
      </w:r>
    </w:p>
    <w:tbl>
      <w:tblPr>
        <w:tblStyle w:val="1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2707D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2C6B2F71">
            <w:pPr>
              <w:spacing w:line="580" w:lineRule="exact"/>
              <w:jc w:val="center"/>
              <w:rPr>
                <w:rFonts w:hint="eastAsia" w:ascii="黑体" w:hAnsi="黑体" w:eastAsia="黑体"/>
                <w:b/>
                <w:sz w:val="24"/>
                <w:szCs w:val="24"/>
              </w:rPr>
            </w:pPr>
            <w:bookmarkStart w:id="29" w:name="OLE_LINK9"/>
            <w:r>
              <w:rPr>
                <w:rFonts w:hint="eastAsia" w:ascii="黑体" w:hAnsi="黑体" w:eastAsia="黑体" w:cs="黑体"/>
                <w:b/>
                <w:kern w:val="2"/>
                <w:sz w:val="30"/>
                <w:szCs w:val="30"/>
              </w:rPr>
              <w:t>专栏3“三个一批”工程</w:t>
            </w:r>
          </w:p>
        </w:tc>
      </w:tr>
      <w:tr w14:paraId="2E7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728E96E1">
            <w:pPr>
              <w:spacing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1.提升改造一批。</w:t>
            </w:r>
            <w:r>
              <w:rPr>
                <w:rFonts w:ascii="仿宋_GB2312" w:eastAsia="仿宋_GB2312"/>
                <w:sz w:val="24"/>
                <w:szCs w:val="24"/>
              </w:rPr>
              <w:t>以 “减人、提效、保安全” 为目标，</w:t>
            </w:r>
            <w:r>
              <w:rPr>
                <w:rFonts w:hint="eastAsia" w:ascii="仿宋_GB2312" w:eastAsia="仿宋_GB2312"/>
                <w:sz w:val="24"/>
                <w:szCs w:val="24"/>
              </w:rPr>
              <w:t>规模上进行优化</w:t>
            </w:r>
            <w:r>
              <w:rPr>
                <w:rFonts w:hint="eastAsia" w:ascii="仿宋_GB2312" w:eastAsia="仿宋_GB2312"/>
                <w:b/>
                <w:bCs/>
                <w:sz w:val="24"/>
                <w:szCs w:val="24"/>
              </w:rPr>
              <w:t>，</w:t>
            </w:r>
            <w:r>
              <w:rPr>
                <w:rFonts w:hint="eastAsia" w:ascii="仿宋_GB2312" w:eastAsia="仿宋_GB2312"/>
                <w:bCs/>
                <w:sz w:val="24"/>
                <w:szCs w:val="24"/>
              </w:rPr>
              <w:t>2026年底完成3万吨以下地下矿山产能提升，达到中型矿山规模，2028年底前，鼓励小型矿山完成产能提升。指导部分有提升产能意向的大中型矿山进行改扩建，扩大生产能力。202</w:t>
            </w:r>
            <w:r>
              <w:rPr>
                <w:rFonts w:hint="eastAsia" w:ascii="仿宋_GB2312" w:eastAsia="仿宋_GB2312"/>
                <w:sz w:val="24"/>
                <w:szCs w:val="24"/>
              </w:rPr>
              <w:t>8年底前，全县所有小型地下矿山扩建至中大型矿山的比例达80%，对于有扩建潜力的地下矿山，制定“一矿一策”方案，协助矿山企业生产规模扩大</w:t>
            </w:r>
            <w:r>
              <w:rPr>
                <w:rFonts w:hint="eastAsia" w:ascii="仿宋_GB2312" w:eastAsia="仿宋_GB2312"/>
                <w:bCs/>
                <w:sz w:val="24"/>
                <w:szCs w:val="24"/>
              </w:rPr>
              <w:t>。设备进行升级改造</w:t>
            </w:r>
            <w:r>
              <w:rPr>
                <w:rFonts w:hint="eastAsia" w:ascii="仿宋_GB2312" w:eastAsia="仿宋_GB2312"/>
                <w:b/>
                <w:sz w:val="24"/>
                <w:szCs w:val="24"/>
              </w:rPr>
              <w:t>。</w:t>
            </w:r>
            <w:r>
              <w:rPr>
                <w:rFonts w:hint="eastAsia" w:ascii="仿宋_GB2312" w:eastAsia="仿宋_GB2312"/>
                <w:bCs/>
                <w:sz w:val="24"/>
                <w:szCs w:val="24"/>
              </w:rPr>
              <w:t>针对未实现机械化撬毛、凿岩的地下矿山，要求开展机械化改造，对工作面空间无法满足设备布置要求的矿山，应采用小型撬毛台车、小型凿岩台车，确保采场作业尽可能实现机械化、自动化。2026年底前完成主要通风机未安装在地面或平硐口的矿山设计改造。2027年底前，全县实现机械化撬毛、机械化凿岩的矿山占比达80%，地下矿山天井钻机普及率达到20%。鼓励矿山建立采掘施工和爆破队伍</w:t>
            </w:r>
            <w:r>
              <w:rPr>
                <w:rFonts w:hint="eastAsia" w:ascii="仿宋_GB2312" w:eastAsia="仿宋_GB2312"/>
                <w:b/>
                <w:sz w:val="24"/>
                <w:szCs w:val="24"/>
              </w:rPr>
              <w:t>，</w:t>
            </w:r>
            <w:r>
              <w:rPr>
                <w:rFonts w:hint="eastAsia" w:ascii="仿宋_GB2312" w:eastAsia="仿宋_GB2312"/>
                <w:bCs/>
                <w:sz w:val="24"/>
                <w:szCs w:val="24"/>
              </w:rPr>
              <w:t>协助矿山办理相应采掘施工和爆破资质，2028年底前，拥有自有采掘施工队伍的企业占比达60%，拥有自有爆破队伍的企业占比达40%。优化爆破技术，对全县地下矿山井巷掘进施工采用爆破工艺的，应优先考虑光面爆破技术，露天矿山全面推广中深孔微差爆破技术。</w:t>
            </w:r>
          </w:p>
          <w:p w14:paraId="633F2082">
            <w:pPr>
              <w:spacing w:line="360" w:lineRule="auto"/>
              <w:ind w:firstLine="482" w:firstLineChars="200"/>
              <w:jc w:val="both"/>
              <w:rPr>
                <w:rFonts w:ascii="仿宋_GB2312" w:eastAsia="仿宋_GB2312"/>
                <w:bCs/>
              </w:rPr>
            </w:pPr>
            <w:r>
              <w:rPr>
                <w:rFonts w:hint="eastAsia" w:ascii="仿宋_GB2312" w:eastAsia="仿宋_GB2312"/>
                <w:b/>
                <w:bCs/>
                <w:sz w:val="24"/>
                <w:szCs w:val="24"/>
              </w:rPr>
              <w:t>2.整合优化一批。</w:t>
            </w:r>
            <w:r>
              <w:rPr>
                <w:rFonts w:hint="eastAsia" w:ascii="仿宋_GB2312" w:eastAsia="仿宋_GB2312"/>
                <w:sz w:val="24"/>
                <w:szCs w:val="24"/>
              </w:rPr>
              <w:t>对于</w:t>
            </w:r>
            <w:r>
              <w:rPr>
                <w:rFonts w:hint="eastAsia" w:ascii="仿宋_GB2312" w:eastAsia="仿宋_GB2312"/>
                <w:bCs/>
                <w:sz w:val="24"/>
                <w:szCs w:val="24"/>
              </w:rPr>
              <w:t>相互存在重大安全影响的矿山完成整合改造。对于开采同一矿体且具备外部条件的，应推进其整合。</w:t>
            </w:r>
            <w:r>
              <w:rPr>
                <w:rFonts w:ascii="仿宋_GB2312" w:eastAsia="仿宋_GB2312"/>
                <w:bCs/>
                <w:sz w:val="24"/>
                <w:szCs w:val="24"/>
              </w:rPr>
              <w:t>2026</w:t>
            </w:r>
            <w:r>
              <w:rPr>
                <w:rFonts w:hint="eastAsia" w:ascii="仿宋_GB2312" w:eastAsia="仿宋_GB2312"/>
                <w:bCs/>
                <w:sz w:val="24"/>
                <w:szCs w:val="24"/>
              </w:rPr>
              <w:t>年底前，推动规模较大且相邻的露天矿山实现整合，实现统一规划开采、加工，消除“孤峰”隐患。</w:t>
            </w:r>
          </w:p>
          <w:p w14:paraId="07CF154A">
            <w:pPr>
              <w:spacing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3.</w:t>
            </w:r>
            <w:bookmarkStart w:id="30" w:name="OLE_LINK16"/>
            <w:r>
              <w:rPr>
                <w:rFonts w:hint="eastAsia" w:ascii="仿宋_GB2312" w:eastAsia="仿宋_GB2312"/>
                <w:b/>
                <w:bCs/>
                <w:sz w:val="24"/>
                <w:szCs w:val="24"/>
              </w:rPr>
              <w:t>淘汰关闭一批。</w:t>
            </w:r>
            <w:bookmarkEnd w:id="30"/>
            <w:r>
              <w:rPr>
                <w:rFonts w:hint="eastAsia" w:ascii="仿宋_GB2312" w:eastAsia="仿宋_GB2312"/>
                <w:bCs/>
                <w:sz w:val="24"/>
                <w:szCs w:val="24"/>
              </w:rPr>
              <w:t>2026年底前，</w:t>
            </w:r>
            <w:r>
              <w:rPr>
                <w:rFonts w:hint="eastAsia" w:ascii="仿宋_GB2312" w:eastAsia="仿宋_GB2312"/>
                <w:sz w:val="24"/>
                <w:szCs w:val="24"/>
              </w:rPr>
              <w:t>矿山</w:t>
            </w:r>
            <w:r>
              <w:rPr>
                <w:rFonts w:hint="eastAsia" w:ascii="仿宋_GB2312" w:eastAsia="仿宋_GB2312"/>
                <w:bCs/>
                <w:sz w:val="24"/>
                <w:szCs w:val="24"/>
              </w:rPr>
              <w:t>未达到最低开采规模的，或者地下矿山开采规模低于</w:t>
            </w:r>
            <w:r>
              <w:rPr>
                <w:rFonts w:ascii="仿宋_GB2312" w:eastAsia="仿宋_GB2312"/>
                <w:bCs/>
                <w:sz w:val="24"/>
                <w:szCs w:val="24"/>
              </w:rPr>
              <w:t>3</w:t>
            </w:r>
            <w:r>
              <w:rPr>
                <w:rFonts w:hint="eastAsia" w:ascii="仿宋_GB2312" w:eastAsia="仿宋_GB2312"/>
                <w:bCs/>
                <w:sz w:val="24"/>
                <w:szCs w:val="24"/>
              </w:rPr>
              <w:t>万吨</w:t>
            </w:r>
            <w:r>
              <w:rPr>
                <w:rFonts w:ascii="仿宋_GB2312" w:eastAsia="仿宋_GB2312"/>
                <w:bCs/>
                <w:sz w:val="24"/>
                <w:szCs w:val="24"/>
              </w:rPr>
              <w:t>/</w:t>
            </w:r>
            <w:r>
              <w:rPr>
                <w:rFonts w:hint="eastAsia" w:ascii="仿宋_GB2312" w:eastAsia="仿宋_GB2312"/>
                <w:bCs/>
                <w:sz w:val="24"/>
                <w:szCs w:val="24"/>
              </w:rPr>
              <w:t>年且资源枯竭的，依法予以淘汰关闭。2030年底前，对于未能使用机械化凿岩、撬毛、铲装的矿山，予以淘汰关闭。</w:t>
            </w:r>
          </w:p>
        </w:tc>
      </w:tr>
      <w:bookmarkEnd w:id="29"/>
    </w:tbl>
    <w:p w14:paraId="29356135">
      <w:pPr>
        <w:pStyle w:val="3"/>
        <w:spacing w:before="0" w:after="0" w:line="580" w:lineRule="exact"/>
        <w:ind w:firstLine="643" w:firstLineChars="200"/>
        <w:rPr>
          <w:rFonts w:ascii="Times New Roman" w:hAnsi="Times New Roman" w:eastAsia="楷体_GB2312" w:cs="Times New Roman"/>
          <w:b/>
          <w:bCs/>
          <w:color w:val="auto"/>
          <w:kern w:val="2"/>
          <w:sz w:val="32"/>
          <w:szCs w:val="32"/>
        </w:rPr>
      </w:pPr>
      <w:bookmarkStart w:id="31" w:name="_Toc218089300"/>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sz w:val="32"/>
          <w:szCs w:val="32"/>
        </w:rPr>
        <w:t>二</w:t>
      </w:r>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kern w:val="2"/>
          <w:sz w:val="32"/>
          <w:szCs w:val="32"/>
        </w:rPr>
        <w:t>智能化示范工程</w:t>
      </w:r>
      <w:bookmarkEnd w:id="31"/>
    </w:p>
    <w:p w14:paraId="7FDF041E">
      <w:pPr>
        <w:spacing w:line="580" w:lineRule="exact"/>
        <w:ind w:firstLine="640" w:firstLineChars="200"/>
        <w:jc w:val="both"/>
        <w:rPr>
          <w:rFonts w:eastAsia="仿宋_GB2312"/>
          <w:kern w:val="2"/>
          <w:sz w:val="32"/>
          <w:szCs w:val="32"/>
        </w:rPr>
      </w:pPr>
      <w:r>
        <w:rPr>
          <w:rFonts w:eastAsia="仿宋_GB2312"/>
          <w:kern w:val="2"/>
          <w:sz w:val="32"/>
          <w:szCs w:val="32"/>
        </w:rPr>
        <w:t>以科技强安为核心，聚焦矿山开采关键环节智能化转型，通过培育试点示范、明确建设标准、推广先进技术，打造 “</w:t>
      </w:r>
      <w:r>
        <w:rPr>
          <w:rFonts w:hint="eastAsia" w:eastAsia="仿宋_GB2312"/>
          <w:kern w:val="2"/>
          <w:sz w:val="32"/>
          <w:szCs w:val="32"/>
        </w:rPr>
        <w:t>智能化、机械化”</w:t>
      </w:r>
      <w:r>
        <w:rPr>
          <w:rFonts w:eastAsia="仿宋_GB2312"/>
          <w:kern w:val="2"/>
          <w:sz w:val="32"/>
          <w:szCs w:val="32"/>
        </w:rPr>
        <w:t>矿山样板，推动采掘、运输、提升等核心环节自动化、无人化升级，减少高风险区域作业人员，降低人为操作风险，为全县矿山智能化建设提供可复制、可推广的经验模式。</w:t>
      </w:r>
    </w:p>
    <w:tbl>
      <w:tblPr>
        <w:tblStyle w:val="1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123FB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29ADF93F">
            <w:pPr>
              <w:spacing w:line="580" w:lineRule="exact"/>
              <w:jc w:val="center"/>
              <w:rPr>
                <w:rFonts w:hint="eastAsia" w:ascii="黑体" w:hAnsi="黑体" w:eastAsia="黑体"/>
                <w:b/>
                <w:sz w:val="24"/>
                <w:szCs w:val="24"/>
              </w:rPr>
            </w:pPr>
            <w:r>
              <w:rPr>
                <w:rFonts w:hint="eastAsia" w:ascii="黑体" w:hAnsi="黑体" w:eastAsia="黑体" w:cs="黑体"/>
                <w:b/>
                <w:kern w:val="2"/>
                <w:sz w:val="30"/>
                <w:szCs w:val="30"/>
              </w:rPr>
              <w:t>专栏4 智能化示范工程</w:t>
            </w:r>
          </w:p>
        </w:tc>
      </w:tr>
      <w:tr w14:paraId="3EFB6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30D96932">
            <w:pPr>
              <w:spacing w:line="360" w:lineRule="auto"/>
              <w:ind w:firstLine="482" w:firstLineChars="200"/>
              <w:jc w:val="both"/>
              <w:rPr>
                <w:rFonts w:ascii="仿宋_GB2312" w:eastAsia="仿宋_GB2312"/>
                <w:bCs/>
                <w:sz w:val="24"/>
                <w:szCs w:val="24"/>
              </w:rPr>
            </w:pPr>
            <w:r>
              <w:rPr>
                <w:rFonts w:hint="eastAsia" w:ascii="仿宋_GB2312" w:eastAsia="仿宋_GB2312"/>
                <w:b/>
                <w:sz w:val="24"/>
                <w:szCs w:val="24"/>
              </w:rPr>
              <w:t>1.</w:t>
            </w:r>
            <w:r>
              <w:rPr>
                <w:rFonts w:ascii="仿宋_GB2312" w:eastAsia="仿宋_GB2312"/>
                <w:b/>
                <w:sz w:val="24"/>
                <w:szCs w:val="24"/>
              </w:rPr>
              <w:t>培育</w:t>
            </w:r>
            <w:r>
              <w:rPr>
                <w:rFonts w:hint="eastAsia" w:ascii="仿宋_GB2312" w:eastAsia="仿宋_GB2312"/>
                <w:b/>
                <w:sz w:val="24"/>
                <w:szCs w:val="24"/>
              </w:rPr>
              <w:t>“智能化、机械化”</w:t>
            </w:r>
            <w:r>
              <w:rPr>
                <w:rFonts w:ascii="仿宋_GB2312" w:eastAsia="仿宋_GB2312"/>
                <w:b/>
                <w:sz w:val="24"/>
                <w:szCs w:val="24"/>
              </w:rPr>
              <w:t>示范矿</w:t>
            </w:r>
            <w:r>
              <w:rPr>
                <w:rFonts w:hint="eastAsia" w:ascii="仿宋_GB2312" w:eastAsia="仿宋_GB2312"/>
                <w:b/>
                <w:sz w:val="24"/>
                <w:szCs w:val="24"/>
              </w:rPr>
              <w:t>。</w:t>
            </w:r>
            <w:r>
              <w:rPr>
                <w:rFonts w:ascii="仿宋_GB2312" w:eastAsia="仿宋_GB2312"/>
                <w:bCs/>
                <w:sz w:val="24"/>
                <w:szCs w:val="24"/>
              </w:rPr>
              <w:t>以典型矿山为试点，打造智能矿山示范工程，总结推广先进经验和技术模式，引领全县矿山</w:t>
            </w:r>
            <w:r>
              <w:rPr>
                <w:rFonts w:ascii="仿宋_GB2312" w:eastAsia="仿宋_GB2312"/>
                <w:sz w:val="24"/>
                <w:szCs w:val="24"/>
              </w:rPr>
              <w:t>智能化</w:t>
            </w:r>
            <w:r>
              <w:rPr>
                <w:rFonts w:ascii="仿宋_GB2312" w:eastAsia="仿宋_GB2312"/>
                <w:bCs/>
                <w:sz w:val="24"/>
                <w:szCs w:val="24"/>
              </w:rPr>
              <w:t>建设水平提升。</w:t>
            </w:r>
          </w:p>
          <w:p w14:paraId="1FA565A1">
            <w:pPr>
              <w:spacing w:line="360" w:lineRule="auto"/>
              <w:ind w:firstLine="482" w:firstLineChars="200"/>
              <w:jc w:val="both"/>
              <w:rPr>
                <w:rFonts w:ascii="仿宋_GB2312" w:eastAsia="仿宋_GB2312"/>
                <w:bCs/>
                <w:sz w:val="24"/>
                <w:szCs w:val="24"/>
              </w:rPr>
            </w:pPr>
            <w:r>
              <w:rPr>
                <w:rFonts w:hint="eastAsia" w:ascii="仿宋_GB2312" w:eastAsia="仿宋_GB2312"/>
                <w:b/>
                <w:sz w:val="24"/>
                <w:szCs w:val="24"/>
              </w:rPr>
              <w:t>2.</w:t>
            </w:r>
            <w:r>
              <w:rPr>
                <w:rFonts w:ascii="仿宋_GB2312" w:eastAsia="仿宋_GB2312"/>
                <w:b/>
                <w:sz w:val="24"/>
                <w:szCs w:val="24"/>
              </w:rPr>
              <w:t>确定</w:t>
            </w:r>
            <w:r>
              <w:rPr>
                <w:rFonts w:hint="eastAsia" w:ascii="仿宋_GB2312" w:eastAsia="仿宋_GB2312"/>
                <w:b/>
                <w:sz w:val="24"/>
                <w:szCs w:val="24"/>
              </w:rPr>
              <w:t>“智能化、机械化”</w:t>
            </w:r>
            <w:r>
              <w:rPr>
                <w:rFonts w:ascii="仿宋_GB2312" w:eastAsia="仿宋_GB2312"/>
                <w:b/>
                <w:sz w:val="24"/>
                <w:szCs w:val="24"/>
              </w:rPr>
              <w:t>示范矿试点</w:t>
            </w:r>
            <w:r>
              <w:rPr>
                <w:rFonts w:hint="eastAsia" w:ascii="仿宋_GB2312" w:eastAsia="仿宋_GB2312"/>
                <w:b/>
                <w:sz w:val="24"/>
                <w:szCs w:val="24"/>
              </w:rPr>
              <w:t>。</w:t>
            </w:r>
            <w:r>
              <w:rPr>
                <w:rFonts w:hint="eastAsia" w:ascii="仿宋_GB2312" w:eastAsia="仿宋_GB2312"/>
                <w:sz w:val="24"/>
                <w:szCs w:val="24"/>
              </w:rPr>
              <w:t>2026年底前</w:t>
            </w:r>
            <w:r>
              <w:rPr>
                <w:rFonts w:hint="eastAsia" w:ascii="仿宋_GB2312" w:eastAsia="仿宋_GB2312"/>
                <w:bCs/>
                <w:sz w:val="24"/>
                <w:szCs w:val="24"/>
              </w:rPr>
              <w:t>，选择1家地下矿山作为全县“智能化、机械化”矿山建设试点，打造全县“智能化、机械化”示范矿山样板，为其他矿山智能化、机械化建设提供借鉴。</w:t>
            </w:r>
          </w:p>
          <w:p w14:paraId="27388963">
            <w:pPr>
              <w:spacing w:line="360" w:lineRule="auto"/>
              <w:ind w:firstLine="482" w:firstLineChars="200"/>
              <w:jc w:val="both"/>
              <w:rPr>
                <w:rFonts w:ascii="仿宋_GB2312" w:eastAsia="仿宋_GB2312"/>
                <w:bCs/>
                <w:sz w:val="24"/>
                <w:szCs w:val="24"/>
              </w:rPr>
            </w:pPr>
            <w:r>
              <w:rPr>
                <w:rFonts w:hint="eastAsia" w:ascii="仿宋_GB2312" w:eastAsia="仿宋_GB2312"/>
                <w:b/>
                <w:sz w:val="24"/>
                <w:szCs w:val="24"/>
              </w:rPr>
              <w:t>3.</w:t>
            </w:r>
            <w:r>
              <w:rPr>
                <w:rFonts w:ascii="仿宋_GB2312" w:eastAsia="仿宋_GB2312"/>
                <w:b/>
                <w:sz w:val="24"/>
                <w:szCs w:val="24"/>
              </w:rPr>
              <w:t>明确建设目标与内容</w:t>
            </w:r>
            <w:r>
              <w:rPr>
                <w:rFonts w:hint="eastAsia" w:ascii="仿宋_GB2312" w:eastAsia="仿宋_GB2312"/>
                <w:b/>
                <w:sz w:val="24"/>
                <w:szCs w:val="24"/>
              </w:rPr>
              <w:t>。</w:t>
            </w:r>
            <w:r>
              <w:rPr>
                <w:rFonts w:hint="eastAsia" w:ascii="仿宋_GB2312" w:eastAsia="仿宋_GB2312"/>
                <w:bCs/>
                <w:sz w:val="24"/>
                <w:szCs w:val="24"/>
              </w:rPr>
              <w:t>2030年底前，建成“智能化+机械化”的矿山，实现采掘、运输、提升、排水、通风等主要生产环节的自动化、智能化、机械化作业，推动井下作业人员数量减少20%以上，重大安全风险得到有效管控，打造成为浙江省萤石矿智能化、机械化建设的标杆。</w:t>
            </w:r>
          </w:p>
        </w:tc>
      </w:tr>
    </w:tbl>
    <w:p w14:paraId="4CE2B55B">
      <w:pPr>
        <w:pStyle w:val="3"/>
        <w:spacing w:before="0" w:after="0" w:line="580" w:lineRule="exact"/>
        <w:ind w:firstLine="643" w:firstLineChars="200"/>
        <w:rPr>
          <w:rFonts w:ascii="Times New Roman" w:hAnsi="Times New Roman" w:eastAsia="楷体_GB2312" w:cs="Times New Roman"/>
          <w:b/>
          <w:bCs/>
          <w:color w:val="auto"/>
          <w:kern w:val="2"/>
          <w:sz w:val="32"/>
          <w:szCs w:val="32"/>
        </w:rPr>
      </w:pPr>
      <w:bookmarkStart w:id="32" w:name="_Toc218089301"/>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sz w:val="32"/>
          <w:szCs w:val="32"/>
        </w:rPr>
        <w:t>三</w:t>
      </w:r>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kern w:val="2"/>
          <w:sz w:val="32"/>
          <w:szCs w:val="32"/>
        </w:rPr>
        <w:t>尾矿库销号治理工程</w:t>
      </w:r>
      <w:bookmarkEnd w:id="32"/>
    </w:p>
    <w:p w14:paraId="30544864">
      <w:pPr>
        <w:spacing w:line="580" w:lineRule="exact"/>
        <w:ind w:firstLine="640" w:firstLineChars="200"/>
        <w:jc w:val="both"/>
        <w:rPr>
          <w:rFonts w:eastAsia="仿宋_GB2312"/>
          <w:kern w:val="2"/>
          <w:sz w:val="32"/>
          <w:szCs w:val="32"/>
        </w:rPr>
      </w:pPr>
      <w:r>
        <w:rPr>
          <w:rFonts w:eastAsia="仿宋_GB2312"/>
          <w:kern w:val="2"/>
          <w:sz w:val="32"/>
          <w:szCs w:val="32"/>
        </w:rPr>
        <w:t>聚焦尾矿库安全风险防控，坚持 “严控增量、化解存量、综合利用” 原则，通过限制新设审批、加快闭库销号、推进尾砂回采利用、强化充填保障等措施，全面整治尾矿库安全隐患，实现尾矿源头减量与安全处置，防范溃坝、渗漏等事故发生，保障下游区域人民群众生命财产安全。</w:t>
      </w:r>
    </w:p>
    <w:tbl>
      <w:tblPr>
        <w:tblStyle w:val="1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74C7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2C69E01F">
            <w:pPr>
              <w:spacing w:line="580" w:lineRule="exact"/>
              <w:jc w:val="center"/>
              <w:rPr>
                <w:rFonts w:hint="eastAsia" w:ascii="黑体" w:hAnsi="黑体" w:eastAsia="黑体"/>
                <w:b/>
                <w:sz w:val="24"/>
                <w:szCs w:val="24"/>
              </w:rPr>
            </w:pPr>
            <w:bookmarkStart w:id="33" w:name="OLE_LINK13"/>
            <w:r>
              <w:rPr>
                <w:rFonts w:hint="eastAsia" w:ascii="黑体" w:hAnsi="黑体" w:eastAsia="黑体" w:cs="黑体"/>
                <w:b/>
                <w:kern w:val="2"/>
                <w:sz w:val="30"/>
                <w:szCs w:val="30"/>
              </w:rPr>
              <w:t>专栏5  尾矿库销号治理工程</w:t>
            </w:r>
          </w:p>
        </w:tc>
      </w:tr>
      <w:tr w14:paraId="2585C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327BFD7B">
            <w:pPr>
              <w:spacing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1.</w:t>
            </w:r>
            <w:bookmarkStart w:id="34" w:name="OLE_LINK14"/>
            <w:r>
              <w:rPr>
                <w:rFonts w:hint="eastAsia" w:ascii="仿宋_GB2312" w:eastAsia="仿宋_GB2312"/>
                <w:b/>
                <w:bCs/>
                <w:sz w:val="24"/>
                <w:szCs w:val="24"/>
              </w:rPr>
              <w:t>限制新设尾矿库审批。</w:t>
            </w:r>
            <w:r>
              <w:rPr>
                <w:rFonts w:hint="eastAsia" w:ascii="仿宋_GB2312" w:eastAsia="仿宋_GB2312"/>
                <w:bCs/>
                <w:sz w:val="24"/>
                <w:szCs w:val="24"/>
              </w:rPr>
              <w:t>原则上不再新增尾矿库，</w:t>
            </w:r>
            <w:bookmarkEnd w:id="34"/>
            <w:r>
              <w:rPr>
                <w:rFonts w:ascii="仿宋_GB2312" w:eastAsia="仿宋_GB2312"/>
                <w:bCs/>
                <w:sz w:val="24"/>
                <w:szCs w:val="24"/>
              </w:rPr>
              <w:t>对新建选厂、改扩建矿山项目，应急管理、自然资源、生态环境部门联合开展尾矿处置方案论证，未明确尾矿综合利用路径的</w:t>
            </w:r>
            <w:r>
              <w:rPr>
                <w:rFonts w:hint="eastAsia" w:ascii="仿宋_GB2312" w:eastAsia="仿宋_GB2312"/>
                <w:bCs/>
                <w:sz w:val="24"/>
                <w:szCs w:val="24"/>
              </w:rPr>
              <w:t>项目</w:t>
            </w:r>
            <w:r>
              <w:rPr>
                <w:rFonts w:ascii="仿宋_GB2312" w:eastAsia="仿宋_GB2312"/>
                <w:bCs/>
                <w:sz w:val="24"/>
                <w:szCs w:val="24"/>
              </w:rPr>
              <w:t>一律不予审批。</w:t>
            </w:r>
          </w:p>
          <w:p w14:paraId="59B82921">
            <w:pPr>
              <w:spacing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2.加快闭库销号工程。</w:t>
            </w:r>
            <w:r>
              <w:rPr>
                <w:rFonts w:ascii="仿宋_GB2312" w:eastAsia="仿宋_GB2312"/>
                <w:bCs/>
                <w:sz w:val="24"/>
                <w:szCs w:val="24"/>
              </w:rPr>
              <w:t>开展尾矿库专项整治</w:t>
            </w:r>
            <w:r>
              <w:rPr>
                <w:rFonts w:hint="eastAsia" w:ascii="仿宋_GB2312" w:eastAsia="仿宋_GB2312"/>
                <w:bCs/>
                <w:sz w:val="24"/>
                <w:szCs w:val="24"/>
              </w:rPr>
              <w:t>，</w:t>
            </w:r>
            <w:r>
              <w:rPr>
                <w:rFonts w:ascii="仿宋_GB2312" w:eastAsia="仿宋_GB2312"/>
                <w:bCs/>
                <w:sz w:val="24"/>
                <w:szCs w:val="24"/>
              </w:rPr>
              <w:t>在用库全部安装浸润线、坝体位移监测设备；2027年底前完成</w:t>
            </w:r>
            <w:r>
              <w:rPr>
                <w:rFonts w:hint="eastAsia" w:ascii="仿宋_GB2312" w:eastAsia="仿宋_GB2312"/>
                <w:bCs/>
                <w:sz w:val="24"/>
                <w:szCs w:val="24"/>
              </w:rPr>
              <w:t>2</w:t>
            </w:r>
            <w:r>
              <w:rPr>
                <w:rFonts w:ascii="仿宋_GB2312" w:eastAsia="仿宋_GB2312"/>
                <w:bCs/>
                <w:sz w:val="24"/>
                <w:szCs w:val="24"/>
              </w:rPr>
              <w:t>座待销号停用尾矿库闭库施工，2028年底前全面完成销号。</w:t>
            </w:r>
          </w:p>
          <w:p w14:paraId="090EC1D7">
            <w:pPr>
              <w:spacing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3.推动尾矿库回采治理。</w:t>
            </w:r>
            <w:r>
              <w:rPr>
                <w:rFonts w:hint="eastAsia" w:ascii="仿宋_GB2312" w:eastAsia="仿宋_GB2312"/>
                <w:sz w:val="24"/>
                <w:szCs w:val="24"/>
              </w:rPr>
              <w:t>以回采的</w:t>
            </w:r>
            <w:r>
              <w:rPr>
                <w:rFonts w:hint="eastAsia" w:ascii="仿宋_GB2312" w:eastAsia="仿宋_GB2312"/>
                <w:bCs/>
                <w:sz w:val="24"/>
                <w:szCs w:val="24"/>
              </w:rPr>
              <w:t>方式</w:t>
            </w:r>
            <w:r>
              <w:rPr>
                <w:rFonts w:hint="eastAsia" w:ascii="仿宋_GB2312" w:eastAsia="仿宋_GB2312"/>
                <w:sz w:val="24"/>
                <w:szCs w:val="24"/>
              </w:rPr>
              <w:t>促进尾矿源头减量，</w:t>
            </w:r>
            <w:r>
              <w:rPr>
                <w:rFonts w:ascii="仿宋_GB2312" w:eastAsia="仿宋_GB2312"/>
                <w:sz w:val="24"/>
                <w:szCs w:val="24"/>
              </w:rPr>
              <w:t>优先将待销号停用尾矿库及在用库的尾砂回采后用于井下充填，2027年底前回采尾砂充填利用率达70%以上。</w:t>
            </w:r>
          </w:p>
          <w:p w14:paraId="162F0955">
            <w:pPr>
              <w:spacing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4.强化尾砂充填保障。</w:t>
            </w:r>
            <w:r>
              <w:rPr>
                <w:rFonts w:hint="eastAsia" w:ascii="仿宋_GB2312" w:eastAsia="仿宋_GB2312"/>
                <w:sz w:val="24"/>
                <w:szCs w:val="24"/>
              </w:rPr>
              <w:t>所有新建选厂产生的尾砂应用于井下尾砂胶结充填，现有选厂2026年底前完成矿山充填系统改造，实现新产生尾矿“零入库”。推动新改扩建地下矿山采用充填法开采，2026年底前，所有矿山实现充填法开采，不能采用充填采矿方法的必须经过严格论证并经专家评审，推动全县矿山有序消纳矿山尾矿。</w:t>
            </w:r>
          </w:p>
        </w:tc>
      </w:tr>
      <w:bookmarkEnd w:id="33"/>
    </w:tbl>
    <w:p w14:paraId="19036DC5">
      <w:pPr>
        <w:pStyle w:val="3"/>
        <w:spacing w:before="0" w:after="0" w:line="580" w:lineRule="exact"/>
        <w:ind w:firstLine="643" w:firstLineChars="200"/>
        <w:rPr>
          <w:rFonts w:ascii="Times New Roman" w:hAnsi="Times New Roman" w:eastAsia="楷体_GB2312" w:cs="Times New Roman"/>
          <w:b/>
          <w:bCs/>
          <w:color w:val="auto"/>
          <w:kern w:val="2"/>
          <w:sz w:val="32"/>
          <w:szCs w:val="32"/>
        </w:rPr>
      </w:pPr>
      <w:bookmarkStart w:id="35" w:name="_Toc218089302"/>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sz w:val="32"/>
          <w:szCs w:val="32"/>
        </w:rPr>
        <w:t>四</w:t>
      </w:r>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kern w:val="2"/>
          <w:sz w:val="32"/>
          <w:szCs w:val="32"/>
        </w:rPr>
        <w:t>人才队伍提升工程</w:t>
      </w:r>
      <w:bookmarkEnd w:id="35"/>
    </w:p>
    <w:p w14:paraId="3396F08A">
      <w:pPr>
        <w:spacing w:line="580" w:lineRule="exact"/>
        <w:ind w:firstLine="640" w:firstLineChars="200"/>
        <w:jc w:val="both"/>
        <w:rPr>
          <w:rFonts w:eastAsia="仿宋_GB2312"/>
          <w:kern w:val="2"/>
          <w:sz w:val="32"/>
          <w:szCs w:val="32"/>
        </w:rPr>
      </w:pPr>
      <w:r>
        <w:rPr>
          <w:rFonts w:eastAsia="仿宋_GB2312"/>
          <w:kern w:val="2"/>
          <w:sz w:val="32"/>
          <w:szCs w:val="32"/>
        </w:rPr>
        <w:t>立足矿山安全发展需求，构建企业人才、监管队伍、专家智库 “三位一体” 的人才培育体系，通过完善人才配备标准、强化教育培训、深化产学研融合、推动双向交流等举措，提升从业人员专业素养、监管干部执法能力、专家智库支撑水平，为矿山安全高质量发展提供坚实的人才保障。</w:t>
      </w:r>
    </w:p>
    <w:tbl>
      <w:tblPr>
        <w:tblStyle w:val="1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6F78F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4096AD08">
            <w:pPr>
              <w:spacing w:line="580" w:lineRule="exact"/>
              <w:jc w:val="center"/>
              <w:rPr>
                <w:rFonts w:hint="eastAsia" w:ascii="黑体" w:hAnsi="黑体" w:eastAsia="黑体"/>
                <w:b/>
                <w:sz w:val="24"/>
                <w:szCs w:val="24"/>
              </w:rPr>
            </w:pPr>
            <w:r>
              <w:rPr>
                <w:rFonts w:hint="eastAsia" w:ascii="黑体" w:hAnsi="黑体" w:eastAsia="黑体" w:cs="黑体"/>
                <w:b/>
                <w:kern w:val="2"/>
                <w:sz w:val="30"/>
                <w:szCs w:val="30"/>
              </w:rPr>
              <w:t>专栏6  人才队伍提升工程</w:t>
            </w:r>
          </w:p>
        </w:tc>
      </w:tr>
      <w:tr w14:paraId="40316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820" w:type="dxa"/>
            <w:tcBorders>
              <w:top w:val="single" w:color="auto" w:sz="4" w:space="0"/>
              <w:left w:val="single" w:color="auto" w:sz="4" w:space="0"/>
              <w:bottom w:val="single" w:color="auto" w:sz="4" w:space="0"/>
              <w:right w:val="single" w:color="auto" w:sz="4" w:space="0"/>
            </w:tcBorders>
            <w:noWrap/>
            <w:vAlign w:val="center"/>
          </w:tcPr>
          <w:p w14:paraId="0D9C7058">
            <w:pPr>
              <w:spacing w:after="0" w:line="360" w:lineRule="auto"/>
              <w:ind w:firstLine="482" w:firstLineChars="200"/>
              <w:jc w:val="both"/>
              <w:rPr>
                <w:rFonts w:ascii="仿宋_GB2312" w:eastAsia="仿宋_GB2312" w:cs="仿宋_GB2312"/>
                <w:bCs/>
                <w:sz w:val="24"/>
                <w:szCs w:val="24"/>
              </w:rPr>
            </w:pPr>
            <w:r>
              <w:rPr>
                <w:rFonts w:hint="eastAsia" w:ascii="仿宋_GB2312" w:eastAsia="仿宋_GB2312"/>
                <w:b/>
                <w:bCs/>
                <w:sz w:val="24"/>
                <w:szCs w:val="24"/>
              </w:rPr>
              <w:t>1.完善矿山人才队伍建设。</w:t>
            </w:r>
            <w:r>
              <w:rPr>
                <w:rFonts w:hint="eastAsia" w:ascii="仿宋_GB2312" w:eastAsia="仿宋_GB2312"/>
                <w:bCs/>
                <w:sz w:val="24"/>
                <w:szCs w:val="24"/>
              </w:rPr>
              <w:t>大力开展从业人员素质提升行动，矿山企业要积极鼓励学历较低员工参加县成人中专学历提升，</w:t>
            </w:r>
            <w:r>
              <w:rPr>
                <w:rFonts w:hint="eastAsia" w:ascii="仿宋_GB2312" w:eastAsia="仿宋_GB2312"/>
                <w:sz w:val="24"/>
                <w:szCs w:val="24"/>
              </w:rPr>
              <w:t>提升特种作业人员的学历，满足高中以上文化水平。</w:t>
            </w:r>
            <w:r>
              <w:rPr>
                <w:rFonts w:hint="eastAsia" w:ascii="仿宋_GB2312" w:eastAsia="仿宋_GB2312"/>
                <w:sz w:val="24"/>
                <w:szCs w:val="24"/>
                <w:lang w:bidi="ar"/>
              </w:rPr>
              <w:t>推动现任“五职”矿长和“五科”技术人员学历提升，确保逐步满足要求，新任职“五职”矿长和“五科”技术人员严格按最新要求落实各项条件</w:t>
            </w:r>
            <w:r>
              <w:rPr>
                <w:rFonts w:hint="eastAsia" w:ascii="仿宋_GB2312" w:eastAsia="仿宋_GB2312"/>
                <w:bCs/>
                <w:sz w:val="24"/>
                <w:szCs w:val="24"/>
              </w:rPr>
              <w:t>。深化产学研融合，鼓励高校和企业合作创新矿山智能化人才联合培养模式，共建示范性实习实践基地，积极开展在职人员智能化和信息化培训。</w:t>
            </w:r>
            <w:r>
              <w:rPr>
                <w:rFonts w:hint="eastAsia" w:ascii="仿宋_GB2312" w:eastAsia="仿宋_GB2312" w:cs="仿宋_GB2312"/>
                <w:bCs/>
                <w:sz w:val="24"/>
                <w:szCs w:val="24"/>
                <w:lang w:bidi="ar"/>
              </w:rPr>
              <w:t>2030年底前，依托大型矿山企业平台，规划建设1个矿山安全技术博士后工作站，推动科技赋能矿山安全生产。</w:t>
            </w:r>
          </w:p>
          <w:p w14:paraId="458E9DEF">
            <w:pPr>
              <w:spacing w:after="0" w:line="360" w:lineRule="auto"/>
              <w:ind w:firstLine="482" w:firstLineChars="200"/>
              <w:jc w:val="both"/>
              <w:rPr>
                <w:rFonts w:ascii="仿宋_GB2312" w:eastAsia="仿宋_GB2312"/>
                <w:bCs/>
                <w:sz w:val="24"/>
                <w:szCs w:val="24"/>
              </w:rPr>
            </w:pPr>
            <w:r>
              <w:rPr>
                <w:rFonts w:hint="eastAsia" w:ascii="仿宋_GB2312" w:eastAsia="仿宋_GB2312"/>
                <w:b/>
                <w:bCs/>
                <w:sz w:val="24"/>
                <w:szCs w:val="24"/>
              </w:rPr>
              <w:t>2.完善监管队伍建设。</w:t>
            </w:r>
            <w:r>
              <w:rPr>
                <w:rFonts w:hint="eastAsia" w:ascii="仿宋_GB2312" w:eastAsia="仿宋_GB2312"/>
                <w:bCs/>
                <w:sz w:val="24"/>
                <w:szCs w:val="24"/>
                <w:lang w:bidi="ar"/>
              </w:rPr>
              <w:t>吸纳引进法律、采矿、地质、安全等专业和基层经验丰富的人才进入监管队伍，强化监管基层基础建设。</w:t>
            </w:r>
            <w:r>
              <w:rPr>
                <w:rFonts w:hint="eastAsia" w:ascii="仿宋_GB2312" w:eastAsia="仿宋_GB2312"/>
                <w:bCs/>
                <w:sz w:val="24"/>
                <w:szCs w:val="24"/>
              </w:rPr>
              <w:t>积极推动矿山企业与科研机构共建，开设矿山安全高级研修班，为监管干部提供常规化的再培训、再教育，加大监管监察干部教育培训师资、网络课程、培训教材等资源共享。通过跟班锻炼、拜师学艺、参与科研等方式在基层实践中培养锻炼干部。鼓励</w:t>
            </w:r>
            <w:r>
              <w:rPr>
                <w:rFonts w:hint="eastAsia" w:ascii="仿宋_GB2312" w:eastAsia="仿宋_GB2312" w:cs="仿宋_GB2312"/>
                <w:bCs/>
                <w:sz w:val="24"/>
                <w:szCs w:val="24"/>
                <w:lang w:bidi="ar"/>
              </w:rPr>
              <w:t>试点政企人才联动机制，推动国有企业、监管部门专业人才双向交流学习。</w:t>
            </w:r>
          </w:p>
          <w:p w14:paraId="0B4DBBFC">
            <w:pPr>
              <w:spacing w:line="360" w:lineRule="auto"/>
              <w:ind w:firstLine="480" w:firstLineChars="200"/>
              <w:jc w:val="both"/>
              <w:rPr>
                <w:rFonts w:ascii="仿宋_GB2312" w:eastAsia="仿宋_GB2312"/>
                <w:bCs/>
                <w:sz w:val="24"/>
                <w:szCs w:val="24"/>
              </w:rPr>
            </w:pPr>
            <w:r>
              <w:rPr>
                <w:rFonts w:hint="eastAsia" w:ascii="仿宋_GB2312" w:eastAsia="仿宋_GB2312"/>
                <w:bCs/>
                <w:sz w:val="24"/>
                <w:szCs w:val="24"/>
              </w:rPr>
              <w:t>3.</w:t>
            </w:r>
            <w:r>
              <w:rPr>
                <w:rFonts w:hint="eastAsia" w:ascii="仿宋_GB2312" w:eastAsia="仿宋_GB2312"/>
                <w:b/>
                <w:sz w:val="24"/>
                <w:szCs w:val="24"/>
              </w:rPr>
              <w:t>加强矿山安全专家库建设。</w:t>
            </w:r>
            <w:r>
              <w:rPr>
                <w:rFonts w:hint="eastAsia" w:ascii="仿宋_GB2312" w:eastAsia="仿宋_GB2312"/>
                <w:bCs/>
                <w:sz w:val="24"/>
                <w:szCs w:val="24"/>
              </w:rPr>
              <w:t>在政策和法律法规研究、安全风险防控和事故调查、应急救援、信息化建设、智能化开采、灾害治理方面完善矿山安全领域专家储备。不定期邀请专家参与矿山安全培训授课、企业现场指导服务等活动，充分发挥矿山安全智囊的作用。强化专家监督管理，对无故不履行职责或工作中违纪违规的的专家实施退出与终止机制。</w:t>
            </w:r>
          </w:p>
        </w:tc>
      </w:tr>
      <w:bookmarkEnd w:id="28"/>
    </w:tbl>
    <w:p w14:paraId="41D90937">
      <w:pPr>
        <w:pStyle w:val="2"/>
        <w:spacing w:before="0" w:after="0" w:line="580" w:lineRule="exact"/>
        <w:ind w:firstLine="640" w:firstLineChars="200"/>
        <w:jc w:val="both"/>
        <w:rPr>
          <w:rFonts w:ascii="Times New Roman" w:hAnsi="Times New Roman" w:eastAsia="黑体" w:cs="Times New Roman"/>
          <w:color w:val="auto"/>
          <w:kern w:val="44"/>
          <w:sz w:val="32"/>
          <w:szCs w:val="32"/>
        </w:rPr>
      </w:pPr>
      <w:bookmarkStart w:id="36" w:name="_Toc218089303"/>
      <w:r>
        <w:rPr>
          <w:rFonts w:hint="eastAsia" w:ascii="Times New Roman" w:hAnsi="Times New Roman" w:eastAsia="黑体" w:cs="Times New Roman"/>
          <w:color w:val="auto"/>
          <w:kern w:val="44"/>
          <w:sz w:val="32"/>
          <w:szCs w:val="32"/>
        </w:rPr>
        <w:t>五</w:t>
      </w:r>
      <w:r>
        <w:rPr>
          <w:rFonts w:ascii="Times New Roman" w:hAnsi="Times New Roman" w:eastAsia="黑体" w:cs="Times New Roman"/>
          <w:color w:val="auto"/>
          <w:kern w:val="44"/>
          <w:sz w:val="32"/>
          <w:szCs w:val="32"/>
        </w:rPr>
        <w:t>、</w:t>
      </w:r>
      <w:r>
        <w:rPr>
          <w:rFonts w:hint="eastAsia" w:ascii="Times New Roman" w:hAnsi="Times New Roman" w:eastAsia="黑体" w:cs="Times New Roman"/>
          <w:color w:val="auto"/>
          <w:kern w:val="44"/>
          <w:sz w:val="32"/>
          <w:szCs w:val="32"/>
        </w:rPr>
        <w:t>保障措施</w:t>
      </w:r>
      <w:bookmarkEnd w:id="36"/>
    </w:p>
    <w:p w14:paraId="3E43546E">
      <w:pPr>
        <w:pStyle w:val="3"/>
        <w:spacing w:before="0" w:after="0" w:line="580" w:lineRule="exact"/>
        <w:ind w:firstLine="643" w:firstLineChars="200"/>
        <w:jc w:val="both"/>
        <w:rPr>
          <w:rFonts w:ascii="Times New Roman" w:hAnsi="Times New Roman" w:eastAsia="楷体_GB2312" w:cs="Times New Roman"/>
          <w:b/>
          <w:bCs/>
          <w:color w:val="auto"/>
          <w:kern w:val="2"/>
          <w:sz w:val="32"/>
          <w:szCs w:val="32"/>
        </w:rPr>
      </w:pPr>
      <w:bookmarkStart w:id="37" w:name="_Toc218089304"/>
      <w:r>
        <w:rPr>
          <w:rFonts w:ascii="Times New Roman" w:hAnsi="Times New Roman" w:eastAsia="楷体_GB2312" w:cs="Times New Roman"/>
          <w:b/>
          <w:bCs/>
          <w:color w:val="auto"/>
          <w:kern w:val="2"/>
          <w:sz w:val="32"/>
          <w:szCs w:val="32"/>
        </w:rPr>
        <w:t>（一）</w:t>
      </w:r>
      <w:bookmarkStart w:id="38" w:name="OLE_LINK5"/>
      <w:r>
        <w:rPr>
          <w:rFonts w:hint="eastAsia" w:ascii="Times New Roman" w:hAnsi="Times New Roman" w:eastAsia="楷体_GB2312" w:cs="Times New Roman"/>
          <w:b/>
          <w:bCs/>
          <w:color w:val="auto"/>
          <w:sz w:val="32"/>
          <w:szCs w:val="32"/>
        </w:rPr>
        <w:t>加强组织领导</w:t>
      </w:r>
      <w:bookmarkEnd w:id="37"/>
      <w:bookmarkEnd w:id="38"/>
    </w:p>
    <w:p w14:paraId="380AC472">
      <w:pPr>
        <w:spacing w:line="580" w:lineRule="exact"/>
        <w:ind w:firstLine="640" w:firstLineChars="200"/>
        <w:jc w:val="both"/>
        <w:rPr>
          <w:rFonts w:eastAsia="仿宋_GB2312"/>
          <w:kern w:val="2"/>
          <w:sz w:val="32"/>
          <w:szCs w:val="32"/>
        </w:rPr>
      </w:pPr>
      <w:r>
        <w:rPr>
          <w:rFonts w:hint="eastAsia" w:eastAsia="仿宋_GB2312"/>
          <w:kern w:val="2"/>
          <w:sz w:val="32"/>
          <w:szCs w:val="32"/>
        </w:rPr>
        <w:t>县工矿专委办牵头负责本规划统筹推进工作，分年度制定任务清单，明确具体事项、完成时限、工作目标，强化动员部署，及时推动解决突出问题。相关部门要统筹推进，建立涵盖应急管理、自然资源、生态环境、公安等相关部门的协作机制，确保规划确定的主要任务和重大工程如期完成。</w:t>
      </w:r>
    </w:p>
    <w:p w14:paraId="101F2401">
      <w:pPr>
        <w:pStyle w:val="3"/>
        <w:spacing w:before="0" w:after="0" w:line="580" w:lineRule="exact"/>
        <w:ind w:firstLine="643" w:firstLineChars="200"/>
        <w:rPr>
          <w:rFonts w:ascii="Times New Roman" w:hAnsi="Times New Roman" w:eastAsia="楷体_GB2312" w:cs="Times New Roman"/>
          <w:b/>
          <w:bCs/>
          <w:color w:val="auto"/>
          <w:kern w:val="2"/>
          <w:sz w:val="32"/>
          <w:szCs w:val="32"/>
        </w:rPr>
      </w:pPr>
      <w:bookmarkStart w:id="39" w:name="_Toc218089305"/>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sz w:val="32"/>
          <w:szCs w:val="32"/>
        </w:rPr>
        <w:t>二</w:t>
      </w:r>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kern w:val="2"/>
          <w:sz w:val="32"/>
          <w:szCs w:val="32"/>
        </w:rPr>
        <w:t>强化政策支持</w:t>
      </w:r>
      <w:bookmarkEnd w:id="39"/>
    </w:p>
    <w:p w14:paraId="15B504FF">
      <w:pPr>
        <w:spacing w:line="580" w:lineRule="exact"/>
        <w:ind w:firstLine="640" w:firstLineChars="200"/>
        <w:jc w:val="both"/>
        <w:rPr>
          <w:rFonts w:eastAsia="仿宋_GB2312"/>
          <w:kern w:val="2"/>
          <w:sz w:val="32"/>
          <w:szCs w:val="32"/>
        </w:rPr>
      </w:pPr>
      <w:r>
        <w:rPr>
          <w:rFonts w:hint="eastAsia" w:eastAsia="仿宋_GB2312"/>
          <w:kern w:val="2"/>
          <w:sz w:val="32"/>
          <w:szCs w:val="32"/>
        </w:rPr>
        <w:t>加强安全生产财政支出相关政策研究，积极争取上级财政支持，保障本规划中的主要任务和重点项目的经费需求。加快培养矿山安全领域亟需的专业人才，积极发展安全生产职业技术教育，强化技能型人才的培养。研究制定支持机械化换人、自动化减人、智能化无人、信息化管人的政策性资金及金融支持、税费减免、土地供应、项目审批等方面的支持政策。</w:t>
      </w:r>
    </w:p>
    <w:p w14:paraId="5C8D5AD0">
      <w:pPr>
        <w:pStyle w:val="3"/>
        <w:spacing w:before="0" w:after="0" w:line="580" w:lineRule="exact"/>
        <w:ind w:firstLine="643" w:firstLineChars="200"/>
        <w:rPr>
          <w:rFonts w:ascii="Times New Roman" w:hAnsi="Times New Roman" w:eastAsia="楷体_GB2312" w:cs="Times New Roman"/>
          <w:b/>
          <w:bCs/>
          <w:color w:val="auto"/>
          <w:kern w:val="2"/>
          <w:sz w:val="32"/>
          <w:szCs w:val="32"/>
        </w:rPr>
      </w:pPr>
      <w:bookmarkStart w:id="40" w:name="_Toc78205316"/>
      <w:bookmarkStart w:id="41" w:name="_Toc60990265"/>
      <w:bookmarkStart w:id="42" w:name="_Toc218089306"/>
      <w:bookmarkStart w:id="43" w:name="_Toc58944948"/>
      <w:bookmarkStart w:id="44" w:name="_Toc59808264"/>
      <w:r>
        <w:rPr>
          <w:rFonts w:hint="eastAsia" w:ascii="Times New Roman" w:hAnsi="Times New Roman" w:eastAsia="楷体_GB2312" w:cs="Times New Roman"/>
          <w:b/>
          <w:bCs/>
          <w:color w:val="auto"/>
          <w:kern w:val="2"/>
          <w:sz w:val="32"/>
          <w:szCs w:val="32"/>
        </w:rPr>
        <w:t>（三）加强协调衔接</w:t>
      </w:r>
      <w:bookmarkEnd w:id="40"/>
      <w:bookmarkEnd w:id="41"/>
      <w:bookmarkEnd w:id="42"/>
      <w:bookmarkEnd w:id="43"/>
      <w:bookmarkEnd w:id="44"/>
    </w:p>
    <w:p w14:paraId="35E1D5E6">
      <w:pPr>
        <w:spacing w:line="580" w:lineRule="exact"/>
        <w:ind w:firstLine="640" w:firstLineChars="200"/>
        <w:jc w:val="both"/>
        <w:rPr>
          <w:rFonts w:eastAsia="仿宋_GB2312"/>
          <w:kern w:val="2"/>
          <w:sz w:val="32"/>
          <w:szCs w:val="32"/>
        </w:rPr>
      </w:pPr>
      <w:r>
        <w:rPr>
          <w:rFonts w:hint="eastAsia" w:eastAsia="仿宋_GB2312"/>
          <w:kern w:val="2"/>
          <w:sz w:val="32"/>
          <w:szCs w:val="32"/>
        </w:rPr>
        <w:t>建立健全规划协调衔接机制，强化规划对全县矿山安全工作的统筹指导作用，确保本县相关专项规划之间的有效衔接，统筹配置资源，避免重复建设。国土空间、矿产资源、生态环境等与矿山有关的规划中要充分考虑矿山安全发展的需要，统筹构建矿山开发的良好布局。</w:t>
      </w:r>
    </w:p>
    <w:p w14:paraId="33D7A775">
      <w:pPr>
        <w:pStyle w:val="3"/>
        <w:spacing w:before="0" w:after="0" w:line="580" w:lineRule="exact"/>
        <w:ind w:firstLine="643" w:firstLineChars="200"/>
        <w:rPr>
          <w:rFonts w:ascii="Times New Roman" w:hAnsi="Times New Roman" w:eastAsia="楷体_GB2312" w:cs="Times New Roman"/>
          <w:b/>
          <w:bCs/>
          <w:color w:val="auto"/>
          <w:kern w:val="2"/>
          <w:sz w:val="32"/>
          <w:szCs w:val="32"/>
        </w:rPr>
      </w:pPr>
      <w:bookmarkStart w:id="45" w:name="_Toc218089307"/>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kern w:val="2"/>
          <w:sz w:val="32"/>
          <w:szCs w:val="32"/>
        </w:rPr>
        <w:t>四</w:t>
      </w:r>
      <w:r>
        <w:rPr>
          <w:rFonts w:ascii="Times New Roman" w:hAnsi="Times New Roman" w:eastAsia="楷体_GB2312" w:cs="Times New Roman"/>
          <w:b/>
          <w:bCs/>
          <w:color w:val="auto"/>
          <w:kern w:val="2"/>
          <w:sz w:val="32"/>
          <w:szCs w:val="32"/>
        </w:rPr>
        <w:t>）</w:t>
      </w:r>
      <w:r>
        <w:rPr>
          <w:rFonts w:hint="eastAsia" w:ascii="Times New Roman" w:hAnsi="Times New Roman" w:eastAsia="楷体_GB2312" w:cs="Times New Roman"/>
          <w:b/>
          <w:bCs/>
          <w:color w:val="auto"/>
          <w:kern w:val="2"/>
          <w:sz w:val="32"/>
          <w:szCs w:val="32"/>
        </w:rPr>
        <w:t>严格考核评估</w:t>
      </w:r>
      <w:bookmarkEnd w:id="45"/>
    </w:p>
    <w:p w14:paraId="733FF13E">
      <w:pPr>
        <w:spacing w:line="580" w:lineRule="exact"/>
        <w:ind w:firstLine="640" w:firstLineChars="200"/>
        <w:jc w:val="both"/>
        <w:rPr>
          <w:rFonts w:eastAsia="仿宋_GB2312"/>
          <w:kern w:val="2"/>
          <w:sz w:val="32"/>
          <w:szCs w:val="32"/>
        </w:rPr>
      </w:pPr>
      <w:r>
        <w:rPr>
          <w:rFonts w:hint="eastAsia" w:eastAsia="仿宋_GB2312"/>
          <w:kern w:val="2"/>
          <w:sz w:val="32"/>
          <w:szCs w:val="32"/>
        </w:rPr>
        <w:t>建立规划实施跟踪评估机制，加强对本规划实施情况的跟踪分析和监督检查。按期组织开展规划实施期中和期末评估，对本规划相关内容落实情况进行评估、统计，分析检查规划实施效果，找出规划实施中存在的问题，提出解决问题的对策措施并落实。加强规划实施的社会监督，开展规划宣传和展示，及时公布规划的进展情况，营造全员共同参与和支持规划实施的氛围。</w:t>
      </w:r>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Light">
    <w:altName w:val="华文仿宋"/>
    <w:panose1 w:val="02010600030101010101"/>
    <w:charset w:val="86"/>
    <w:family w:val="auto"/>
    <w:pitch w:val="default"/>
    <w:sig w:usb0="00000000" w:usb1="00000000" w:usb2="00000016" w:usb3="00000000" w:csb0="0004000F" w:csb1="00000000"/>
  </w:font>
  <w:font w:name="Arial">
    <w:altName w:val="DejaVu Sans"/>
    <w:panose1 w:val="020B0604020202020204"/>
    <w:charset w:val="00"/>
    <w:family w:val="swiss"/>
    <w:pitch w:val="default"/>
    <w:sig w:usb0="00000000" w:usb1="00000000" w:usb2="00000009" w:usb3="00000000" w:csb0="000001FF"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等线 Light">
    <w:altName w:val="C059"/>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71DD3">
    <w:pPr>
      <w:pStyle w:val="12"/>
      <w:jc w:val="center"/>
    </w:pPr>
  </w:p>
  <w:p w14:paraId="05701101">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09D15E2D">
        <w:pPr>
          <w:pStyle w:val="12"/>
          <w:jc w:val="center"/>
        </w:pPr>
        <w:r>
          <w:fldChar w:fldCharType="begin"/>
        </w:r>
        <w:r>
          <w:instrText xml:space="preserve">PAGE   \* MERGEFORMAT</w:instrText>
        </w:r>
        <w:r>
          <w:fldChar w:fldCharType="separate"/>
        </w:r>
        <w:r>
          <w:rPr>
            <w:lang w:val="zh-CN"/>
          </w:rPr>
          <w:t>2</w:t>
        </w:r>
        <w:r>
          <w:fldChar w:fldCharType="end"/>
        </w:r>
      </w:p>
    </w:sdtContent>
  </w:sdt>
  <w:p w14:paraId="40168D09">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6A2"/>
    <w:rsid w:val="000234EA"/>
    <w:rsid w:val="000257D2"/>
    <w:rsid w:val="0004060D"/>
    <w:rsid w:val="00041563"/>
    <w:rsid w:val="00043B5B"/>
    <w:rsid w:val="00054CFC"/>
    <w:rsid w:val="00062FED"/>
    <w:rsid w:val="00063158"/>
    <w:rsid w:val="000C2DB2"/>
    <w:rsid w:val="000C660E"/>
    <w:rsid w:val="000D4B90"/>
    <w:rsid w:val="000D6E4C"/>
    <w:rsid w:val="000E69C1"/>
    <w:rsid w:val="000F5E9C"/>
    <w:rsid w:val="00120B81"/>
    <w:rsid w:val="00121A36"/>
    <w:rsid w:val="00136F13"/>
    <w:rsid w:val="00147E42"/>
    <w:rsid w:val="0016363B"/>
    <w:rsid w:val="00183E85"/>
    <w:rsid w:val="00195D4A"/>
    <w:rsid w:val="001A6D16"/>
    <w:rsid w:val="001B4634"/>
    <w:rsid w:val="001E31A4"/>
    <w:rsid w:val="00206BE2"/>
    <w:rsid w:val="00227885"/>
    <w:rsid w:val="002357F1"/>
    <w:rsid w:val="00241919"/>
    <w:rsid w:val="00243185"/>
    <w:rsid w:val="0024654B"/>
    <w:rsid w:val="0025168B"/>
    <w:rsid w:val="00265996"/>
    <w:rsid w:val="002670F1"/>
    <w:rsid w:val="002766A0"/>
    <w:rsid w:val="00280995"/>
    <w:rsid w:val="00284978"/>
    <w:rsid w:val="002A0ECF"/>
    <w:rsid w:val="002A4C7A"/>
    <w:rsid w:val="002A71AF"/>
    <w:rsid w:val="002D0534"/>
    <w:rsid w:val="002D06BE"/>
    <w:rsid w:val="002D6188"/>
    <w:rsid w:val="002E56E0"/>
    <w:rsid w:val="002F232A"/>
    <w:rsid w:val="002F2770"/>
    <w:rsid w:val="002F6576"/>
    <w:rsid w:val="003206AD"/>
    <w:rsid w:val="00323DF7"/>
    <w:rsid w:val="003460B7"/>
    <w:rsid w:val="003509A8"/>
    <w:rsid w:val="00354172"/>
    <w:rsid w:val="00362282"/>
    <w:rsid w:val="003C2C91"/>
    <w:rsid w:val="003C6873"/>
    <w:rsid w:val="003E1C45"/>
    <w:rsid w:val="0040279A"/>
    <w:rsid w:val="00426AA1"/>
    <w:rsid w:val="0045183A"/>
    <w:rsid w:val="00451C24"/>
    <w:rsid w:val="00464AC2"/>
    <w:rsid w:val="00474A1B"/>
    <w:rsid w:val="00490618"/>
    <w:rsid w:val="004A15FD"/>
    <w:rsid w:val="004B0CDF"/>
    <w:rsid w:val="004B6D69"/>
    <w:rsid w:val="004C4574"/>
    <w:rsid w:val="004C4CBB"/>
    <w:rsid w:val="004E0844"/>
    <w:rsid w:val="004E38AC"/>
    <w:rsid w:val="004F708D"/>
    <w:rsid w:val="00507324"/>
    <w:rsid w:val="005101E8"/>
    <w:rsid w:val="005103E8"/>
    <w:rsid w:val="00514E3A"/>
    <w:rsid w:val="005301A6"/>
    <w:rsid w:val="005309EA"/>
    <w:rsid w:val="00531B22"/>
    <w:rsid w:val="00534953"/>
    <w:rsid w:val="00534EDC"/>
    <w:rsid w:val="005511E6"/>
    <w:rsid w:val="00564E63"/>
    <w:rsid w:val="005657C0"/>
    <w:rsid w:val="00573D7A"/>
    <w:rsid w:val="00582548"/>
    <w:rsid w:val="00585116"/>
    <w:rsid w:val="00594395"/>
    <w:rsid w:val="005B68AD"/>
    <w:rsid w:val="005C1957"/>
    <w:rsid w:val="005C2B78"/>
    <w:rsid w:val="005C617E"/>
    <w:rsid w:val="005D11F6"/>
    <w:rsid w:val="005D35FD"/>
    <w:rsid w:val="005D4E7F"/>
    <w:rsid w:val="005E47F6"/>
    <w:rsid w:val="005E4E6D"/>
    <w:rsid w:val="006021E1"/>
    <w:rsid w:val="00607221"/>
    <w:rsid w:val="00610636"/>
    <w:rsid w:val="0061199B"/>
    <w:rsid w:val="00627203"/>
    <w:rsid w:val="00646709"/>
    <w:rsid w:val="0064714B"/>
    <w:rsid w:val="006477EC"/>
    <w:rsid w:val="00654E53"/>
    <w:rsid w:val="00665024"/>
    <w:rsid w:val="00672879"/>
    <w:rsid w:val="00681B65"/>
    <w:rsid w:val="00687F49"/>
    <w:rsid w:val="006A7B2F"/>
    <w:rsid w:val="006C0806"/>
    <w:rsid w:val="006C2D24"/>
    <w:rsid w:val="006E6C1D"/>
    <w:rsid w:val="006F4F90"/>
    <w:rsid w:val="007019E4"/>
    <w:rsid w:val="007320C8"/>
    <w:rsid w:val="00734843"/>
    <w:rsid w:val="007446A2"/>
    <w:rsid w:val="00745B4F"/>
    <w:rsid w:val="00757C17"/>
    <w:rsid w:val="00760029"/>
    <w:rsid w:val="00770A89"/>
    <w:rsid w:val="00791303"/>
    <w:rsid w:val="007A4B68"/>
    <w:rsid w:val="007A55D2"/>
    <w:rsid w:val="007B2E87"/>
    <w:rsid w:val="007B3495"/>
    <w:rsid w:val="007C2E48"/>
    <w:rsid w:val="007C38E2"/>
    <w:rsid w:val="007D59A5"/>
    <w:rsid w:val="007E44A4"/>
    <w:rsid w:val="008264E9"/>
    <w:rsid w:val="00836CD9"/>
    <w:rsid w:val="0083719A"/>
    <w:rsid w:val="00842FBB"/>
    <w:rsid w:val="0084610A"/>
    <w:rsid w:val="008522C0"/>
    <w:rsid w:val="00856E2D"/>
    <w:rsid w:val="00866BD8"/>
    <w:rsid w:val="008776A6"/>
    <w:rsid w:val="008871BF"/>
    <w:rsid w:val="00895C52"/>
    <w:rsid w:val="0089715A"/>
    <w:rsid w:val="008A0097"/>
    <w:rsid w:val="008B6126"/>
    <w:rsid w:val="008C7DEE"/>
    <w:rsid w:val="008D09AB"/>
    <w:rsid w:val="008D5B5D"/>
    <w:rsid w:val="008E09E5"/>
    <w:rsid w:val="008E3009"/>
    <w:rsid w:val="008E6C4E"/>
    <w:rsid w:val="008F02B4"/>
    <w:rsid w:val="00901188"/>
    <w:rsid w:val="00904806"/>
    <w:rsid w:val="00904A22"/>
    <w:rsid w:val="00905AD7"/>
    <w:rsid w:val="009143E1"/>
    <w:rsid w:val="00914E5E"/>
    <w:rsid w:val="0092112A"/>
    <w:rsid w:val="00923EA9"/>
    <w:rsid w:val="009400D2"/>
    <w:rsid w:val="00940419"/>
    <w:rsid w:val="00990519"/>
    <w:rsid w:val="00996292"/>
    <w:rsid w:val="009A0EB9"/>
    <w:rsid w:val="009B5A0A"/>
    <w:rsid w:val="009D5B39"/>
    <w:rsid w:val="009F335C"/>
    <w:rsid w:val="00A019C6"/>
    <w:rsid w:val="00A15420"/>
    <w:rsid w:val="00A166AA"/>
    <w:rsid w:val="00A3729B"/>
    <w:rsid w:val="00A53E29"/>
    <w:rsid w:val="00AA6B86"/>
    <w:rsid w:val="00AA7EA2"/>
    <w:rsid w:val="00AB02F4"/>
    <w:rsid w:val="00AB4602"/>
    <w:rsid w:val="00AD0F7B"/>
    <w:rsid w:val="00AE4B3F"/>
    <w:rsid w:val="00AE5A97"/>
    <w:rsid w:val="00AF5D29"/>
    <w:rsid w:val="00B1418D"/>
    <w:rsid w:val="00B232C8"/>
    <w:rsid w:val="00B75327"/>
    <w:rsid w:val="00B937E0"/>
    <w:rsid w:val="00B97F31"/>
    <w:rsid w:val="00BA0C86"/>
    <w:rsid w:val="00BA61B2"/>
    <w:rsid w:val="00BC4E0F"/>
    <w:rsid w:val="00BD15F5"/>
    <w:rsid w:val="00BF12BB"/>
    <w:rsid w:val="00BF2EE6"/>
    <w:rsid w:val="00BF59F1"/>
    <w:rsid w:val="00BF73B2"/>
    <w:rsid w:val="00C20F45"/>
    <w:rsid w:val="00C237EA"/>
    <w:rsid w:val="00C437CE"/>
    <w:rsid w:val="00C445CB"/>
    <w:rsid w:val="00C45843"/>
    <w:rsid w:val="00C551AC"/>
    <w:rsid w:val="00C83E67"/>
    <w:rsid w:val="00C86499"/>
    <w:rsid w:val="00C87A84"/>
    <w:rsid w:val="00C95A58"/>
    <w:rsid w:val="00CA20FD"/>
    <w:rsid w:val="00CB0065"/>
    <w:rsid w:val="00CB57E2"/>
    <w:rsid w:val="00CC0189"/>
    <w:rsid w:val="00CC5C20"/>
    <w:rsid w:val="00CD0053"/>
    <w:rsid w:val="00CD5F35"/>
    <w:rsid w:val="00CF65EA"/>
    <w:rsid w:val="00D23C09"/>
    <w:rsid w:val="00D32DF6"/>
    <w:rsid w:val="00D46EAE"/>
    <w:rsid w:val="00D501CE"/>
    <w:rsid w:val="00D5092C"/>
    <w:rsid w:val="00D54ADE"/>
    <w:rsid w:val="00D65BF3"/>
    <w:rsid w:val="00DA2616"/>
    <w:rsid w:val="00DA362F"/>
    <w:rsid w:val="00DB1D14"/>
    <w:rsid w:val="00DB2009"/>
    <w:rsid w:val="00DB2E40"/>
    <w:rsid w:val="00DB4B71"/>
    <w:rsid w:val="00DB4F14"/>
    <w:rsid w:val="00DD3C19"/>
    <w:rsid w:val="00DE7375"/>
    <w:rsid w:val="00DF62BB"/>
    <w:rsid w:val="00E177C7"/>
    <w:rsid w:val="00E41CA1"/>
    <w:rsid w:val="00E51778"/>
    <w:rsid w:val="00E66B4A"/>
    <w:rsid w:val="00E66D35"/>
    <w:rsid w:val="00ED3DED"/>
    <w:rsid w:val="00F07C10"/>
    <w:rsid w:val="00F1050E"/>
    <w:rsid w:val="00F12F79"/>
    <w:rsid w:val="00F205B5"/>
    <w:rsid w:val="00F20BDA"/>
    <w:rsid w:val="00F27FF7"/>
    <w:rsid w:val="00F330EE"/>
    <w:rsid w:val="00F46D3C"/>
    <w:rsid w:val="00F62AAE"/>
    <w:rsid w:val="00F66954"/>
    <w:rsid w:val="00F81335"/>
    <w:rsid w:val="00F81D02"/>
    <w:rsid w:val="00F8276D"/>
    <w:rsid w:val="00FA3628"/>
    <w:rsid w:val="00FC7726"/>
    <w:rsid w:val="00FC7F23"/>
    <w:rsid w:val="00FD5AC0"/>
    <w:rsid w:val="00FF0F17"/>
    <w:rsid w:val="2FF7EEFD"/>
    <w:rsid w:val="31FF20F2"/>
    <w:rsid w:val="502051CE"/>
    <w:rsid w:val="BFFF9F97"/>
    <w:rsid w:val="D3ADEA62"/>
    <w:rsid w:val="DDFFE02A"/>
    <w:rsid w:val="DFD1310C"/>
    <w:rsid w:val="ECF74366"/>
    <w:rsid w:val="EFBFFE2E"/>
    <w:rsid w:val="FFBD4C5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imes New Roman" w:hAnsi="Times New Roman" w:cs="Times New Roman" w:eastAsiaTheme="minorEastAsia"/>
      <w:lang w:val="en-US" w:eastAsia="zh-CN" w:bidi="ar-SA"/>
    </w:rPr>
  </w:style>
  <w:style w:type="paragraph" w:styleId="2">
    <w:name w:val="heading 1"/>
    <w:basedOn w:val="1"/>
    <w:next w:val="1"/>
    <w:link w:val="24"/>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25"/>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6"/>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7"/>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8"/>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9"/>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30"/>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1"/>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2"/>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style>
  <w:style w:type="paragraph" w:styleId="12">
    <w:name w:val="footer"/>
    <w:basedOn w:val="1"/>
    <w:link w:val="45"/>
    <w:unhideWhenUsed/>
    <w:qFormat/>
    <w:uiPriority w:val="99"/>
    <w:pPr>
      <w:tabs>
        <w:tab w:val="center" w:pos="4153"/>
        <w:tab w:val="right" w:pos="8306"/>
      </w:tabs>
      <w:snapToGrid w:val="0"/>
    </w:pPr>
    <w:rPr>
      <w:sz w:val="18"/>
      <w:szCs w:val="18"/>
    </w:rPr>
  </w:style>
  <w:style w:type="paragraph" w:styleId="13">
    <w:name w:val="header"/>
    <w:basedOn w:val="1"/>
    <w:link w:val="44"/>
    <w:unhideWhenUsed/>
    <w:qFormat/>
    <w:uiPriority w:val="99"/>
    <w:pP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Subtitle"/>
    <w:basedOn w:val="1"/>
    <w:next w:val="1"/>
    <w:link w:val="34"/>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oc 2"/>
    <w:basedOn w:val="1"/>
    <w:next w:val="1"/>
    <w:unhideWhenUsed/>
    <w:qFormat/>
    <w:uiPriority w:val="39"/>
    <w:pPr>
      <w:ind w:left="420" w:leftChars="200"/>
    </w:pPr>
  </w:style>
  <w:style w:type="paragraph" w:styleId="17">
    <w:name w:val="Normal (Web)"/>
    <w:basedOn w:val="1"/>
    <w:semiHidden/>
    <w:unhideWhenUsed/>
    <w:qFormat/>
    <w:uiPriority w:val="99"/>
    <w:rPr>
      <w:sz w:val="24"/>
      <w:szCs w:val="24"/>
    </w:rPr>
  </w:style>
  <w:style w:type="paragraph" w:styleId="18">
    <w:name w:val="Title"/>
    <w:basedOn w:val="1"/>
    <w:next w:val="1"/>
    <w:link w:val="33"/>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20">
    <w:name w:val="Table Grid"/>
    <w:basedOn w:val="19"/>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unhideWhenUsed/>
    <w:qFormat/>
    <w:uiPriority w:val="99"/>
    <w:rPr>
      <w:color w:val="0563C1" w:themeColor="hyperlink"/>
      <w:u w:val="single"/>
      <w14:textFill>
        <w14:solidFill>
          <w14:schemeClr w14:val="hlink"/>
        </w14:solidFill>
      </w14:textFill>
    </w:rPr>
  </w:style>
  <w:style w:type="character" w:styleId="23">
    <w:name w:val="annotation reference"/>
    <w:basedOn w:val="21"/>
    <w:semiHidden/>
    <w:unhideWhenUsed/>
    <w:qFormat/>
    <w:uiPriority w:val="99"/>
    <w:rPr>
      <w:sz w:val="21"/>
      <w:szCs w:val="21"/>
    </w:rPr>
  </w:style>
  <w:style w:type="character" w:customStyle="1" w:styleId="24">
    <w:name w:val="标题 1 字符"/>
    <w:basedOn w:val="21"/>
    <w:link w:val="2"/>
    <w:qFormat/>
    <w:uiPriority w:val="9"/>
    <w:rPr>
      <w:rFonts w:asciiTheme="majorHAnsi" w:hAnsiTheme="majorHAnsi" w:eastAsiaTheme="majorEastAsia" w:cstheme="majorBidi"/>
      <w:color w:val="2F5597" w:themeColor="accent1" w:themeShade="BF"/>
      <w:sz w:val="48"/>
      <w:szCs w:val="48"/>
    </w:rPr>
  </w:style>
  <w:style w:type="character" w:customStyle="1" w:styleId="25">
    <w:name w:val="标题 2 字符"/>
    <w:basedOn w:val="21"/>
    <w:link w:val="3"/>
    <w:qFormat/>
    <w:uiPriority w:val="9"/>
    <w:rPr>
      <w:rFonts w:asciiTheme="majorHAnsi" w:hAnsiTheme="majorHAnsi" w:eastAsiaTheme="majorEastAsia" w:cstheme="majorBidi"/>
      <w:color w:val="2F5597" w:themeColor="accent1" w:themeShade="BF"/>
      <w:sz w:val="40"/>
      <w:szCs w:val="40"/>
    </w:rPr>
  </w:style>
  <w:style w:type="character" w:customStyle="1" w:styleId="26">
    <w:name w:val="标题 3 字符"/>
    <w:basedOn w:val="21"/>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7">
    <w:name w:val="标题 4 字符"/>
    <w:basedOn w:val="21"/>
    <w:link w:val="5"/>
    <w:qFormat/>
    <w:uiPriority w:val="9"/>
    <w:rPr>
      <w:rFonts w:cstheme="majorBidi"/>
      <w:color w:val="2F5597" w:themeColor="accent1" w:themeShade="BF"/>
      <w:sz w:val="28"/>
      <w:szCs w:val="28"/>
    </w:rPr>
  </w:style>
  <w:style w:type="character" w:customStyle="1" w:styleId="28">
    <w:name w:val="标题 5 字符"/>
    <w:basedOn w:val="21"/>
    <w:link w:val="6"/>
    <w:qFormat/>
    <w:uiPriority w:val="9"/>
    <w:rPr>
      <w:rFonts w:cstheme="majorBidi"/>
      <w:color w:val="2F5597" w:themeColor="accent1" w:themeShade="BF"/>
      <w:sz w:val="24"/>
      <w:szCs w:val="24"/>
    </w:rPr>
  </w:style>
  <w:style w:type="character" w:customStyle="1" w:styleId="29">
    <w:name w:val="标题 6 字符"/>
    <w:basedOn w:val="21"/>
    <w:link w:val="7"/>
    <w:semiHidden/>
    <w:qFormat/>
    <w:uiPriority w:val="9"/>
    <w:rPr>
      <w:rFonts w:cstheme="majorBidi"/>
      <w:b/>
      <w:bCs/>
      <w:color w:val="2F5597" w:themeColor="accent1" w:themeShade="BF"/>
    </w:rPr>
  </w:style>
  <w:style w:type="character" w:customStyle="1" w:styleId="30">
    <w:name w:val="标题 7 字符"/>
    <w:basedOn w:val="21"/>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1"/>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1"/>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1"/>
    <w:link w:val="18"/>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1"/>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21"/>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ind w:left="720"/>
      <w:contextualSpacing/>
    </w:pPr>
  </w:style>
  <w:style w:type="character" w:customStyle="1" w:styleId="38">
    <w:name w:val="明显强调1"/>
    <w:basedOn w:val="21"/>
    <w:qFormat/>
    <w:uiPriority w:val="21"/>
    <w:rPr>
      <w:i/>
      <w:iCs/>
      <w:color w:val="2F5597" w:themeColor="accent1" w:themeShade="BF"/>
    </w:rPr>
  </w:style>
  <w:style w:type="paragraph" w:styleId="39">
    <w:name w:val="Intense Quote"/>
    <w:basedOn w:val="1"/>
    <w:next w:val="1"/>
    <w:link w:val="40"/>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40">
    <w:name w:val="明显引用 字符"/>
    <w:basedOn w:val="21"/>
    <w:link w:val="39"/>
    <w:qFormat/>
    <w:uiPriority w:val="30"/>
    <w:rPr>
      <w:i/>
      <w:iCs/>
      <w:color w:val="2F5597" w:themeColor="accent1" w:themeShade="BF"/>
    </w:rPr>
  </w:style>
  <w:style w:type="character" w:customStyle="1" w:styleId="41">
    <w:name w:val="明显参考1"/>
    <w:basedOn w:val="21"/>
    <w:qFormat/>
    <w:uiPriority w:val="32"/>
    <w:rPr>
      <w:b/>
      <w:bCs/>
      <w:smallCaps/>
      <w:color w:val="2F5597" w:themeColor="accent1" w:themeShade="BF"/>
      <w:spacing w:val="5"/>
    </w:rPr>
  </w:style>
  <w:style w:type="paragraph" w:customStyle="1" w:styleId="42">
    <w:name w:val="2"/>
    <w:qFormat/>
    <w:uiPriority w:val="0"/>
    <w:pPr>
      <w:spacing w:before="120" w:after="120" w:line="288" w:lineRule="auto"/>
    </w:pPr>
    <w:rPr>
      <w:rFonts w:ascii="Arial" w:hAnsi="Arial" w:eastAsia="等线" w:cs="Arial"/>
      <w:sz w:val="22"/>
      <w:szCs w:val="22"/>
      <w:lang w:val="en-US" w:eastAsia="zh-CN" w:bidi="ar-SA"/>
    </w:rPr>
  </w:style>
  <w:style w:type="paragraph" w:customStyle="1" w:styleId="43">
    <w:name w:val="TOC 标题1"/>
    <w:basedOn w:val="2"/>
    <w:next w:val="1"/>
    <w:unhideWhenUsed/>
    <w:qFormat/>
    <w:uiPriority w:val="39"/>
    <w:pPr>
      <w:widowControl/>
      <w:spacing w:before="240" w:after="0" w:line="259" w:lineRule="auto"/>
      <w:outlineLvl w:val="9"/>
    </w:pPr>
    <w:rPr>
      <w:sz w:val="32"/>
      <w:szCs w:val="32"/>
    </w:rPr>
  </w:style>
  <w:style w:type="character" w:customStyle="1" w:styleId="44">
    <w:name w:val="页眉 字符"/>
    <w:basedOn w:val="21"/>
    <w:link w:val="13"/>
    <w:qFormat/>
    <w:uiPriority w:val="99"/>
    <w:rPr>
      <w:rFonts w:ascii="Times New Roman" w:hAnsi="Times New Roman" w:cs="Times New Roman"/>
      <w:kern w:val="0"/>
      <w:sz w:val="18"/>
      <w:szCs w:val="18"/>
      <w14:ligatures w14:val="none"/>
    </w:rPr>
  </w:style>
  <w:style w:type="character" w:customStyle="1" w:styleId="45">
    <w:name w:val="页脚 字符"/>
    <w:basedOn w:val="21"/>
    <w:link w:val="12"/>
    <w:qFormat/>
    <w:uiPriority w:val="99"/>
    <w:rPr>
      <w:rFonts w:ascii="Times New Roman" w:hAnsi="Times New Roman" w:cs="Times New Roman"/>
      <w:kern w:val="0"/>
      <w:sz w:val="18"/>
      <w:szCs w:val="18"/>
      <w14:ligatures w14:val="none"/>
    </w:rPr>
  </w:style>
  <w:style w:type="paragraph" w:customStyle="1" w:styleId="46">
    <w:name w:val="修订1"/>
    <w:hidden/>
    <w:unhideWhenUsed/>
    <w:qFormat/>
    <w:uiPriority w:val="99"/>
    <w:pPr>
      <w:spacing w:after="160" w:line="278" w:lineRule="auto"/>
    </w:pPr>
    <w:rPr>
      <w:rFonts w:ascii="Times New Roman" w:hAnsi="Times New Roman" w:cs="Times New Roman" w:eastAsiaTheme="minorEastAsia"/>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xmlns="http://schemas.wps.cn/vas-ai-hub/contract-review">
    <reviewItem xmlns="http://schemas.wps.cn/vas-ai-hub/contract-review">
      <errorID xmlns="http://schemas.wps.cn/vas-ai-hub/contract-review">c6e0dc8f-06c1-4d7e-8f61-7460c860143c</errorID>
      <errorWord xmlns="http://schemas.wps.cn/vas-ai-hub/contract-review">二零二</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二○二</item>
      </candidateList>
      <explain xmlns="http://schemas.wps.cn/vas-ai-hub/contract-review">词汇[二零二]为不规范表述或旧称，其规范书面表述为[二○二]。</explain>
      <paraID xmlns="http://schemas.wps.cn/vas-ai-hub/contract-review">2E3D4D72</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dee5a2c8-2668-471a-b9e7-c2730d3193f1</errorID>
      <errorWord xmlns="http://schemas.wps.cn/vas-ai-hub/contract-review">省委省政府</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省委、省政府</item>
      </candidateList>
      <explain xmlns="http://schemas.wps.cn/vas-ai-hub/contract-review">注意检查当前固定表述标点是否使用规范。</explain>
      <paraID xmlns="http://schemas.wps.cn/vas-ai-hub/contract-review">18206AB0</paraID>
      <start xmlns="http://schemas.wps.cn/vas-ai-hub/contract-review">45</start>
      <end xmlns="http://schemas.wps.cn/vas-ai-hub/contract-review">50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57b640dc-3608-4867-8bd2-68e28bfc34e1</errorID>
      <errorWord xmlns="http://schemas.wps.cn/vas-ai-hub/contract-review">市委市政府</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市委、市政府</item>
      </candidateList>
      <explain xmlns="http://schemas.wps.cn/vas-ai-hub/contract-review"/>
      <paraID xmlns="http://schemas.wps.cn/vas-ai-hub/contract-review">18206AB0</paraID>
      <start xmlns="http://schemas.wps.cn/vas-ai-hub/contract-review">51</start>
      <end xmlns="http://schemas.wps.cn/vas-ai-hub/contract-review">56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c99bfc3a-206e-4b90-b73e-84e1adc12857</errorID>
      <errorWord xmlns="http://schemas.wps.cn/vas-ai-hub/contract-review">县委县政府</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县委、县政府</item>
      </candidateList>
      <explain xmlns="http://schemas.wps.cn/vas-ai-hub/contract-review">注意检查当前固定表述标点是否使用规范。</explain>
      <paraID xmlns="http://schemas.wps.cn/vas-ai-hub/contract-review">18206AB0</paraID>
      <start xmlns="http://schemas.wps.cn/vas-ai-hub/contract-review">57</start>
      <end xmlns="http://schemas.wps.cn/vas-ai-hub/contract-review">62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de7cafbe-42ae-4a76-a42a-b7ee65ec4c32</errorID>
      <errorWord xmlns="http://schemas.wps.cn/vas-ai-hub/contract-review">&lt;</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18206AB0</paraID>
      <start xmlns="http://schemas.wps.cn/vas-ai-hub/contract-review">199</start>
      <end xmlns="http://schemas.wps.cn/vas-ai-hub/contract-review">200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ba3b1c9c-f342-4709-9105-5896594327d1</errorID>
      <errorWord xmlns="http://schemas.wps.cn/vas-ai-hub/contract-review">&gt;的通知》</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〉的通知》</item>
      </candidateList>
      <explain xmlns="http://schemas.wps.cn/vas-ai-hub/contract-review"/>
      <paraID xmlns="http://schemas.wps.cn/vas-ai-hub/contract-review">18206AB0</paraID>
      <start xmlns="http://schemas.wps.cn/vas-ai-hub/contract-review">220</start>
      <end xmlns="http://schemas.wps.cn/vas-ai-hub/contract-review">225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101a2f81-0299-4775-b868-af015b996aa0</errorID>
      <errorWord xmlns="http://schemas.wps.cn/vas-ai-hub/contract-review">主要以萤石矿为主</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以萤石矿为主</item>
      </candidateList>
      <explain xmlns="http://schemas.wps.cn/vas-ai-hub/contract-review"/>
      <paraID xmlns="http://schemas.wps.cn/vas-ai-hub/contract-review">39FE3EE1</paraID>
      <start xmlns="http://schemas.wps.cn/vas-ai-hub/contract-review">195</start>
      <end xmlns="http://schemas.wps.cn/vas-ai-hub/contract-review">203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d2d52baa-b897-41c2-80d8-9a2e4f883345</errorID>
      <errorWord xmlns="http://schemas.wps.cn/vas-ai-hub/contract-review">莹石</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萤石</item>
      </candidateList>
      <explain xmlns="http://schemas.wps.cn/vas-ai-hub/contract-review"/>
      <paraID xmlns="http://schemas.wps.cn/vas-ai-hub/contract-review">59352F1F</paraID>
      <start xmlns="http://schemas.wps.cn/vas-ai-hub/contract-review">5</start>
      <end xmlns="http://schemas.wps.cn/vas-ai-hub/contract-review">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2475c7b9-e262-4e1b-9f70-d1eb8fe9a33c</errorID>
      <errorWord xmlns="http://schemas.wps.cn/vas-ai-hub/contract-review">有力</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有利</item>
      </candidateList>
      <explain xmlns="http://schemas.wps.cn/vas-ai-hub/contract-review">〈形〉有好处；有帮助：地势十分～｜购买国库券既～于国家建设，又～于个人。</explain>
      <paraID xmlns="http://schemas.wps.cn/vas-ai-hub/contract-review"> BC4F173</paraID>
      <start xmlns="http://schemas.wps.cn/vas-ai-hub/contract-review">298</start>
      <end xmlns="http://schemas.wps.cn/vas-ai-hub/contract-review">300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cc175254-539c-4577-984c-e2a3b7f947a3</errorID>
      <errorWord xmlns="http://schemas.wps.cn/vas-ai-hub/contract-review">新一轮科技革命与产业变革</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新一轮科技革命和产业变革</item>
      </candidateList>
      <explain xmlns="http://schemas.wps.cn/vas-ai-hub/contract-review">词汇“新一轮科技革命和产业变革”在特定场景下为固定表述形式，请确认此处的“新一轮科技革命与产业变革”是否存在不当。</explain>
      <paraID xmlns="http://schemas.wps.cn/vas-ai-hub/contract-review">5943982E</paraID>
      <start xmlns="http://schemas.wps.cn/vas-ai-hub/contract-review">36</start>
      <end xmlns="http://schemas.wps.cn/vas-ai-hub/contract-review">48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a0fd32ea-363d-4e30-a2ad-d09c55f0d8ee</errorID>
      <errorWord xmlns="http://schemas.wps.cn/vas-ai-hub/contract-review">第一家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第一支</item>
      </candidateList>
      <explain xmlns="http://schemas.wps.cn/vas-ai-hub/contract-review"/>
      <paraID xmlns="http://schemas.wps.cn/vas-ai-hub/contract-review">1132064A</paraID>
      <start xmlns="http://schemas.wps.cn/vas-ai-hub/contract-review">20</start>
      <end xmlns="http://schemas.wps.cn/vas-ai-hub/contract-review">23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13227a47-e1b4-4fbe-b31b-5ceb77a791a1</errorID>
      <errorWord xmlns="http://schemas.wps.cn/vas-ai-hub/contract-review">利</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利于</item>
      </candidateList>
      <explain xmlns="http://schemas.wps.cn/vas-ai-hub/contract-review"/>
      <paraID xmlns="http://schemas.wps.cn/vas-ai-hub/contract-review">4727F5BC</paraID>
      <start xmlns="http://schemas.wps.cn/vas-ai-hub/contract-review">151</start>
      <end xmlns="http://schemas.wps.cn/vas-ai-hub/contract-review">152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9cedb86c-8c06-437a-9dd1-b85a51729c1e</errorID>
      <errorWord xmlns="http://schemas.wps.cn/vas-ai-hub/contract-review">确保</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维护</item>
      </candidateList>
      <explain xmlns="http://schemas.wps.cn/vas-ai-hub/contract-review">“切实～确保”搭配不当，建议修改为“切实～维护”。</explain>
      <paraID xmlns="http://schemas.wps.cn/vas-ai-hub/contract-review">5C4D4C73</paraID>
      <start xmlns="http://schemas.wps.cn/vas-ai-hub/contract-review">70</start>
      <end xmlns="http://schemas.wps.cn/vas-ai-hub/contract-review">72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d21a8fe0-f5e5-439c-8201-dfdab2d1ce99</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65D7EE8B</paraID>
      <start xmlns="http://schemas.wps.cn/vas-ai-hub/contract-review">8</start>
      <end xmlns="http://schemas.wps.cn/vas-ai-hub/contract-review">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acbcf050-842a-4c18-991d-fff18d3733c0</errorID>
      <errorWord xmlns="http://schemas.wps.cn/vas-ai-hub/contract-review">实施</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实时</item>
      </candidateList>
      <explain xmlns="http://schemas.wps.cn/vas-ai-hub/contract-review">〈副〉与某事发生、发展过程同时（做某事）：进行～报道｜～传递股市行情。</explain>
      <paraID xmlns="http://schemas.wps.cn/vas-ai-hub/contract-review">32C3B71B</paraID>
      <start xmlns="http://schemas.wps.cn/vas-ai-hub/contract-review">46</start>
      <end xmlns="http://schemas.wps.cn/vas-ai-hub/contract-review">48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8b673953-78b8-4132-a930-892c5d4d5fb9</errorID>
      <errorWord xmlns="http://schemas.wps.cn/vas-ai-hub/contract-review">增强</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提升</item>
      </candidateList>
      <explain xmlns="http://schemas.wps.cn/vas-ai-hub/contract-review">“增强～水平”搭配不当，建议修改为“提升～水平”。</explain>
      <paraID xmlns="http://schemas.wps.cn/vas-ai-hub/contract-review">705FEAA3</paraID>
      <start xmlns="http://schemas.wps.cn/vas-ai-hub/contract-review">10</start>
      <end xmlns="http://schemas.wps.cn/vas-ai-hub/contract-review">12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a900b0cd-6a3d-4f15-b5b5-61f4f76a4dd1</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，在</item>
      </candidateList>
      <explain xmlns="http://schemas.wps.cn/vas-ai-hub/contract-review"/>
      <paraID xmlns="http://schemas.wps.cn/vas-ai-hub/contract-review">75F23A2E</paraID>
      <start xmlns="http://schemas.wps.cn/vas-ai-hub/contract-review">81</start>
      <end xmlns="http://schemas.wps.cn/vas-ai-hub/contract-review">82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41f650d6-5aae-4a15-aaa6-e033d9b45d24</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，针</item>
      </candidateList>
      <explain xmlns="http://schemas.wps.cn/vas-ai-hub/contract-review"/>
      <paraID xmlns="http://schemas.wps.cn/vas-ai-hub/contract-review">1A3DAC73</paraID>
      <start xmlns="http://schemas.wps.cn/vas-ai-hub/contract-review">42</start>
      <end xmlns="http://schemas.wps.cn/vas-ai-hub/contract-review">43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1ca0f45d-104c-4ab4-95c5-c16e1e713165</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，将</item>
      </candidateList>
      <explain xmlns="http://schemas.wps.cn/vas-ai-hub/contract-review"/>
      <paraID xmlns="http://schemas.wps.cn/vas-ai-hub/contract-review">1A3DAC73</paraID>
      <start xmlns="http://schemas.wps.cn/vas-ai-hub/contract-review">174</start>
      <end xmlns="http://schemas.wps.cn/vas-ai-hub/contract-review">175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922b0732-f76b-4487-b8ed-3444679ae7d5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52760B41</paraID>
      <start xmlns="http://schemas.wps.cn/vas-ai-hub/contract-review">8</start>
      <end xmlns="http://schemas.wps.cn/vas-ai-hub/contract-review">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fc3af0d5-4c40-4b50-b592-798a09d5f50b</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，在</item>
      </candidateList>
      <explain xmlns="http://schemas.wps.cn/vas-ai-hub/contract-review"/>
      <paraID xmlns="http://schemas.wps.cn/vas-ai-hub/contract-review">52760B41</paraID>
      <start xmlns="http://schemas.wps.cn/vas-ai-hub/contract-review">26</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41807fae-ae3c-44c3-8b95-e2436391eecf</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，在</item>
      </candidateList>
      <explain xmlns="http://schemas.wps.cn/vas-ai-hub/contract-review"/>
      <paraID xmlns="http://schemas.wps.cn/vas-ai-hub/contract-review">52760B41</paraID>
      <start xmlns="http://schemas.wps.cn/vas-ai-hub/contract-review">484</start>
      <end xmlns="http://schemas.wps.cn/vas-ai-hub/contract-review">485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281465aa-ec95-4474-a94f-bb02b142ad9c</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159A994D</paraID>
      <start xmlns="http://schemas.wps.cn/vas-ai-hub/contract-review">8</start>
      <end xmlns="http://schemas.wps.cn/vas-ai-hub/contract-review">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f8593895-19fc-41a4-91ff-1b97325baa0c</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66F7ECE5</paraID>
      <start xmlns="http://schemas.wps.cn/vas-ai-hub/contract-review">8</start>
      <end xmlns="http://schemas.wps.cn/vas-ai-hub/contract-review">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613de7fb-429a-43a7-a2be-679463256c15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34A665E4</paraID>
      <start xmlns="http://schemas.wps.cn/vas-ai-hub/contract-review">9</start>
      <end xmlns="http://schemas.wps.cn/vas-ai-hub/contract-review">10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4e38cf39-dbc9-44e0-8bd2-567c88e99431</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6E9FAFE5</paraID>
      <start xmlns="http://schemas.wps.cn/vas-ai-hub/contract-review">11</start>
      <end xmlns="http://schemas.wps.cn/vas-ai-hub/contract-review">12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ff350e1d-e33c-4126-ace1-61b23fe6a7fb</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7F2BDCBF</paraID>
      <start xmlns="http://schemas.wps.cn/vas-ai-hub/contract-review">11</start>
      <end xmlns="http://schemas.wps.cn/vas-ai-hub/contract-review">12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1cb730bd-13d6-478f-ab1a-439b3b94f417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29E9F0A2</paraID>
      <start xmlns="http://schemas.wps.cn/vas-ai-hub/contract-review">11</start>
      <end xmlns="http://schemas.wps.cn/vas-ai-hub/contract-review">12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a5a164e0-fb25-43d5-b8b4-1cfe26f3dfd9</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 EC13199</paraID>
      <start xmlns="http://schemas.wps.cn/vas-ai-hub/contract-review">10</start>
      <end xmlns="http://schemas.wps.cn/vas-ai-hub/contract-review">11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6eba3359-b43b-4fdf-a830-92f05ba34337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24987DA5</paraID>
      <start xmlns="http://schemas.wps.cn/vas-ai-hub/contract-review">11</start>
      <end xmlns="http://schemas.wps.cn/vas-ai-hub/contract-review">12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98141097-100f-42e9-897d-b71bf36a75c2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 918EC3A</paraID>
      <start xmlns="http://schemas.wps.cn/vas-ai-hub/contract-review">10</start>
      <end xmlns="http://schemas.wps.cn/vas-ai-hub/contract-review">11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53d2b137-9b88-40e6-99df-90e1198bf898</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4FA455A4</paraID>
      <start xmlns="http://schemas.wps.cn/vas-ai-hub/contract-review">12</start>
      <end xmlns="http://schemas.wps.cn/vas-ai-hub/contract-review">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cc8db3f1-355e-452d-96cf-21bfbad304f6</errorID>
      <errorWord xmlns="http://schemas.wps.cn/vas-ai-hub/contract-review">参加县</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参加</item>
      </candidateList>
      <explain xmlns="http://schemas.wps.cn/vas-ai-hub/contract-review">〈动〉❶加入某种组织或某种活动：～工会｜～会议｜～选举｜～绿化劳动。❷提出（意见）：这件事儿，请你也～点儿意见。</explain>
      <paraID xmlns="http://schemas.wps.cn/vas-ai-hub/contract-review">4FA455A4</paraID>
      <start xmlns="http://schemas.wps.cn/vas-ai-hub/contract-review">43</start>
      <end xmlns="http://schemas.wps.cn/vas-ai-hub/contract-review">46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96e6b2f1-4900-4d08-b994-313c1cdc70b4</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6E7659CE</paraID>
      <start xmlns="http://schemas.wps.cn/vas-ai-hub/contract-review">10</start>
      <end xmlns="http://schemas.wps.cn/vas-ai-hub/contract-review">11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a5903068-609d-4deb-8b8e-0191064bd400</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
      </candidateList>
      <explain xmlns="http://schemas.wps.cn/vas-ai-hub/contract-review">标题文本后不使用标点符号。</explain>
      <paraID xmlns="http://schemas.wps.cn/vas-ai-hub/contract-review">4D601CE3</paraID>
      <start xmlns="http://schemas.wps.cn/vas-ai-hub/contract-review">13</start>
      <end xmlns="http://schemas.wps.cn/vas-ai-hub/contract-review">14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09e82160-afa4-4ab1-827d-261ef03f7521</errorID>
      <errorWord xmlns="http://schemas.wps.cn/vas-ai-hub/contract-review">统</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统筹</item>
      </candidateList>
      <explain xmlns="http://schemas.wps.cn/vas-ai-hub/contract-review">〈动〉统一筹划：～兼顾｜～全局。</explain>
      <paraID xmlns="http://schemas.wps.cn/vas-ai-hub/contract-review">7D893BFC</paraID>
      <start xmlns="http://schemas.wps.cn/vas-ai-hub/contract-review">70</start>
      <end xmlns="http://schemas.wps.cn/vas-ai-hub/contract-review">71</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C3506BAA-50C4-442F-BAFE-ED3BB289B172}">
  <ds:schemaRefs/>
</ds:datastoreItem>
</file>

<file path=docProps/app.xml><?xml version="1.0" encoding="utf-8"?>
<Properties xmlns="http://schemas.openxmlformats.org/officeDocument/2006/extended-properties" xmlns:vt="http://schemas.openxmlformats.org/officeDocument/2006/docPropsVTypes">
  <Template>Normal.dotm</Template>
  <Pages>27</Pages>
  <Words>7280</Words>
  <Characters>7354</Characters>
  <Lines>490</Lines>
  <Paragraphs>332</Paragraphs>
  <TotalTime>2</TotalTime>
  <ScaleCrop>false</ScaleCrop>
  <LinksUpToDate>false</LinksUpToDate>
  <CharactersWithSpaces>14302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2025-12-31T16:11:00Z</dcterms:created>
  <dc:creator>shi lu</dc:creator>
  <cp:lastModifiedBy>吕珍</cp:lastModifiedBy>
  <dcterms:modified xsi:type="dcterms:W3CDTF">2025-12-31T19:04:47Z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F68DF0E3FDDDCBF3CF8C1A690F134C2E</vt:lpwstr>
  </property>
  <property fmtid="{D5CDD505-2E9C-101B-9397-08002B2CF9AE}" pid="4" name="KSOTemplateDocerSaveRecord">
    <vt:lpwstr>eyJoZGlkIjoiN2M5ZWYxZmQ4ZTQ1OTg1OWQxNTdmYjEwNzkzMDZhOTQiLCJ1c2VySWQiOiI1ODIzMjUyNDYifQ==</vt:lpwstr>
  </property>
</Properties>
</file>