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44"/>
          <w:szCs w:val="44"/>
          <w:lang w:val="en-US"/>
        </w:rPr>
      </w:pPr>
      <w:r>
        <w:rPr>
          <w:rFonts w:hint="eastAsia" w:ascii="方正小标宋简体" w:hAnsi="方正小标宋简体" w:eastAsia="方正小标宋简体" w:cs="方正小标宋简体"/>
          <w:sz w:val="44"/>
          <w:szCs w:val="44"/>
          <w:lang w:eastAsia="zh-CN"/>
        </w:rPr>
        <w:t>2025年第一批农村生活污水治理设施提升改造项目（王村口镇关川村弓桥头、官塘生活污水处理设施提升改造）</w:t>
      </w:r>
      <w:bookmarkStart w:id="0" w:name="_GoBack"/>
      <w:bookmarkEnd w:id="0"/>
      <w:r>
        <w:rPr>
          <w:rFonts w:hint="eastAsia" w:ascii="方正小标宋简体" w:hAnsi="方正小标宋简体" w:eastAsia="方正小标宋简体" w:cs="方正小标宋简体"/>
          <w:sz w:val="44"/>
          <w:szCs w:val="44"/>
          <w:lang w:val="en-US" w:eastAsia="zh-CN"/>
        </w:rPr>
        <w:t>草案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一、背景与必要性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为遂昌县2025年农村生活污水处理设施提升改造工程方案，本次方案主要涉及王村口镇关川村的污水处理站提标改造工程。农村生活污水治理工作要与乡村振兴战略、农村人民环境整治、美丽乡村等工作结合起来，树立全县城乡“一盘棋”思想，按照城镇、乡村“一体建设、一体收集、一体处理”的思路统筹推进农村生活污水治理。统筹城乡规划建设。改变城乡规划分割、建设分治的状况，把城镇污水治理和农村生活污水治理统一纳入政府宏观规划。针对现状条件下生活污水处理设施的应用情况，农户的接入情况，结合各个村庄规划人口、特色发展的目标及周边城镇污水处理厂的容纳规模，进行经济与技术性分析，制定相应的技术措施与专业实施建议，实现生活污水治理的城乡统筹遂昌县域农村生活污水治理近期建设规划（2021-2025）根据《遂昌县域农村生活污水治理近期建设规划（2021-2025）》。结合本项目实际情况，采取改造方案如下：王村口镇关川村和坳头村各个自然村有原建管网，年久失修主管道和部分支管需要新建。关川村和坳头村在原建处理站位置新建污水处理设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二、目的与意义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旨在构建全镇农村生活污水治理的总体布局、阶段目标和建设时序。统筹城乡管理制度。建立城乡一体的污水管理制度，加快农村污水治理的数字改革，提升治理效能。将数字化改革贯穿于农村生活污水治理设施建设、运维和决策分析全过程，加快推进数字化管理系统建设，实现基础信息数字化、水质监测动态化、问题处置便捷化。构建省市县乡一体联动，规划、建设、运维全流程管理，管理服务，监督检查、综合评价、辅助决策全方位赋能的数字化闭环管理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三、主要工作内容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本项目拟改造的处理站水质参照《农村生活污水集中处理设施水污染物排放标准》（Db33/973-2021），本项目属于二级标准，具体如下：表1.5-1项目出水水质指标表</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348605" cy="868045"/>
            <wp:effectExtent l="0" t="0" r="4445" b="8255"/>
            <wp:docPr id="1" name="图片 1" descr="9A8179E3-2B02-44e0-9BBD-FFCCAA18AB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8179E3-2B02-44e0-9BBD-FFCCAA18ABF9"/>
                    <pic:cNvPicPr>
                      <a:picLocks noChangeAspect="1"/>
                    </pic:cNvPicPr>
                  </pic:nvPicPr>
                  <pic:blipFill>
                    <a:blip r:embed="rId4"/>
                    <a:stretch>
                      <a:fillRect/>
                    </a:stretch>
                  </pic:blipFill>
                  <pic:spPr>
                    <a:xfrm>
                      <a:off x="0" y="0"/>
                      <a:ext cx="5348605" cy="86804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建设和改造的预期成果</w:t>
      </w:r>
      <w:r>
        <w:rPr>
          <w:rFonts w:hint="eastAsia" w:ascii="仿宋_GB2312" w:hAnsi="仿宋_GB2312" w:eastAsia="仿宋_GB2312" w:cs="仿宋_GB2312"/>
          <w:sz w:val="32"/>
          <w:szCs w:val="32"/>
          <w:lang w:eastAsia="zh-CN"/>
        </w:rPr>
        <w:t>：</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覆盖范围提升，受益率增加以应接尽接和应建尽建的建设改造目标，经过本工程的实施，项目范围内接户率达到100%。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（2）污水直排现象得到全面改造，环境影响减少通过户内处理设施和公共管道系统将生活污水收集输送至污水集中处理终端，减少对周边环境的影响，提升村内人居环境。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22263D"/>
    <w:rsid w:val="625569D0"/>
    <w:rsid w:val="75F65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2024-10-15T07:33:00Z</dcterms:created>
  <dc:creator>Administrator</dc:creator>
  <cp:lastModifiedBy>王村口镇文书</cp:lastModifiedBy>
  <dcterms:modified xsi:type="dcterms:W3CDTF">2025-12-12T03:49:37Z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